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586"/>
        <w:tblW w:w="9955" w:type="dxa"/>
        <w:tblLayout w:type="fixed"/>
        <w:tblLook w:val="0400" w:firstRow="0" w:lastRow="0" w:firstColumn="0" w:lastColumn="0" w:noHBand="0" w:noVBand="1"/>
      </w:tblPr>
      <w:tblGrid>
        <w:gridCol w:w="4253"/>
        <w:gridCol w:w="2096"/>
        <w:gridCol w:w="3606"/>
      </w:tblGrid>
      <w:tr w:rsidR="00445E50" w:rsidRPr="00970017" w14:paraId="1EC358CA" w14:textId="77777777" w:rsidTr="00084D0B">
        <w:trPr>
          <w:trHeight w:val="428"/>
        </w:trPr>
        <w:tc>
          <w:tcPr>
            <w:tcW w:w="4253" w:type="dxa"/>
          </w:tcPr>
          <w:p w14:paraId="4AA19C42" w14:textId="77777777" w:rsidR="00445E50" w:rsidRPr="00970017" w:rsidRDefault="00445E50" w:rsidP="00084D0B">
            <w:pPr>
              <w:pBdr>
                <w:between w:val="nil"/>
              </w:pBdr>
              <w:spacing w:line="240" w:lineRule="auto"/>
              <w:jc w:val="center"/>
              <w:rPr>
                <w:rFonts w:ascii="Arial" w:eastAsia="Calibri" w:hAnsi="Arial" w:cs="Arial"/>
                <w:b/>
                <w:color w:val="000000"/>
                <w:lang w:eastAsia="fr-FR"/>
              </w:rPr>
            </w:pPr>
            <w:r w:rsidRPr="00970017">
              <w:rPr>
                <w:rFonts w:ascii="Arial" w:eastAsia="Calibri" w:hAnsi="Arial" w:cs="Arial"/>
                <w:b/>
                <w:color w:val="000000"/>
                <w:sz w:val="22"/>
                <w:lang w:eastAsia="fr-FR"/>
              </w:rPr>
              <w:t>UNION DES COMORES</w:t>
            </w:r>
          </w:p>
          <w:p w14:paraId="34F46E63" w14:textId="77777777" w:rsidR="00445E50" w:rsidRPr="00084D0B" w:rsidRDefault="00445E50" w:rsidP="00084D0B">
            <w:pPr>
              <w:pBdr>
                <w:between w:val="nil"/>
              </w:pBdr>
              <w:spacing w:line="240" w:lineRule="auto"/>
              <w:jc w:val="center"/>
              <w:rPr>
                <w:rFonts w:ascii="Arial" w:eastAsia="Calibri" w:hAnsi="Arial" w:cs="Arial"/>
                <w:bCs/>
                <w:iCs/>
                <w:color w:val="000000"/>
                <w:lang w:eastAsia="fr-FR"/>
              </w:rPr>
            </w:pPr>
            <w:r w:rsidRPr="00084D0B">
              <w:rPr>
                <w:rFonts w:ascii="Arial" w:eastAsia="Calibri" w:hAnsi="Arial" w:cs="Arial"/>
                <w:bCs/>
                <w:iCs/>
                <w:color w:val="000000"/>
                <w:sz w:val="22"/>
                <w:lang w:eastAsia="fr-FR"/>
              </w:rPr>
              <w:t>Unité</w:t>
            </w:r>
            <w:r w:rsidR="00084D0B">
              <w:rPr>
                <w:rFonts w:ascii="Arial" w:eastAsia="Calibri" w:hAnsi="Arial" w:cs="Arial"/>
                <w:bCs/>
                <w:iCs/>
                <w:color w:val="000000"/>
                <w:sz w:val="22"/>
                <w:lang w:eastAsia="fr-FR"/>
              </w:rPr>
              <w:t xml:space="preserve"> – </w:t>
            </w:r>
            <w:r w:rsidRPr="00084D0B">
              <w:rPr>
                <w:rFonts w:ascii="Arial" w:eastAsia="Calibri" w:hAnsi="Arial" w:cs="Arial"/>
                <w:bCs/>
                <w:iCs/>
                <w:color w:val="000000"/>
                <w:sz w:val="22"/>
                <w:lang w:eastAsia="fr-FR"/>
              </w:rPr>
              <w:t>Solidarité</w:t>
            </w:r>
            <w:r w:rsidR="00084D0B">
              <w:rPr>
                <w:rFonts w:ascii="Arial" w:eastAsia="Calibri" w:hAnsi="Arial" w:cs="Arial"/>
                <w:bCs/>
                <w:iCs/>
                <w:color w:val="000000"/>
                <w:sz w:val="22"/>
                <w:lang w:eastAsia="fr-FR"/>
              </w:rPr>
              <w:t xml:space="preserve"> – </w:t>
            </w:r>
            <w:r w:rsidRPr="00084D0B">
              <w:rPr>
                <w:rFonts w:ascii="Arial" w:eastAsia="Calibri" w:hAnsi="Arial" w:cs="Arial"/>
                <w:bCs/>
                <w:iCs/>
                <w:color w:val="000000"/>
                <w:sz w:val="22"/>
                <w:lang w:eastAsia="fr-FR"/>
              </w:rPr>
              <w:t>Développement</w:t>
            </w:r>
          </w:p>
          <w:p w14:paraId="203BA0B6" w14:textId="77777777" w:rsidR="00445E50" w:rsidRPr="00970017" w:rsidRDefault="00445E50" w:rsidP="00084D0B">
            <w:pPr>
              <w:pBdr>
                <w:between w:val="nil"/>
              </w:pBdr>
              <w:spacing w:line="240" w:lineRule="auto"/>
              <w:jc w:val="center"/>
              <w:rPr>
                <w:rFonts w:ascii="Arial" w:eastAsia="Calibri" w:hAnsi="Arial" w:cs="Arial"/>
                <w:b/>
                <w:color w:val="000000"/>
                <w:lang w:eastAsia="fr-FR"/>
              </w:rPr>
            </w:pPr>
            <w:r w:rsidRPr="00970017">
              <w:rPr>
                <w:rFonts w:ascii="Arial" w:eastAsia="Calibri" w:hAnsi="Arial" w:cs="Arial"/>
                <w:b/>
                <w:color w:val="000000"/>
                <w:sz w:val="22"/>
                <w:lang w:eastAsia="fr-FR"/>
              </w:rPr>
              <w:t>----------****-----------</w:t>
            </w:r>
          </w:p>
        </w:tc>
        <w:tc>
          <w:tcPr>
            <w:tcW w:w="2096" w:type="dxa"/>
          </w:tcPr>
          <w:p w14:paraId="2A912A4E" w14:textId="77777777" w:rsidR="00445E50" w:rsidRPr="00970017" w:rsidRDefault="00445E50" w:rsidP="00084D0B">
            <w:pPr>
              <w:pBdr>
                <w:between w:val="nil"/>
              </w:pBdr>
              <w:spacing w:line="240" w:lineRule="auto"/>
              <w:jc w:val="center"/>
              <w:rPr>
                <w:rFonts w:ascii="Arial" w:eastAsia="Calibri" w:hAnsi="Arial" w:cs="Arial"/>
                <w:b/>
                <w:color w:val="000000"/>
                <w:lang w:eastAsia="fr-FR"/>
              </w:rPr>
            </w:pPr>
            <w:r w:rsidRPr="00970017">
              <w:rPr>
                <w:rFonts w:ascii="Arial" w:eastAsia="Calibri" w:hAnsi="Arial" w:cs="Arial"/>
                <w:b/>
                <w:noProof/>
                <w:color w:val="000000"/>
                <w:sz w:val="22"/>
                <w:lang w:eastAsia="fr-FR"/>
              </w:rPr>
              <w:drawing>
                <wp:anchor distT="0" distB="0" distL="114300" distR="114300" simplePos="0" relativeHeight="251659264" behindDoc="1" locked="0" layoutInCell="1" allowOverlap="1" wp14:anchorId="3F42B231" wp14:editId="7CBADF4F">
                  <wp:simplePos x="0" y="0"/>
                  <wp:positionH relativeFrom="column">
                    <wp:posOffset>97783</wp:posOffset>
                  </wp:positionH>
                  <wp:positionV relativeFrom="paragraph">
                    <wp:posOffset>314</wp:posOffset>
                  </wp:positionV>
                  <wp:extent cx="991551" cy="783771"/>
                  <wp:effectExtent l="0" t="0" r="0" b="0"/>
                  <wp:wrapNone/>
                  <wp:docPr id="1" name="Image 1" descr="http://beit-salam.km/assets/img/SEAUDeLE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beit-salam.km/assets/img/SEAUDeLETA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551" cy="783771"/>
                          </a:xfrm>
                          <a:prstGeom prst="rect">
                            <a:avLst/>
                          </a:prstGeom>
                          <a:noFill/>
                          <a:ln>
                            <a:noFill/>
                          </a:ln>
                        </pic:spPr>
                      </pic:pic>
                    </a:graphicData>
                  </a:graphic>
                </wp:anchor>
              </w:drawing>
            </w:r>
          </w:p>
        </w:tc>
        <w:tc>
          <w:tcPr>
            <w:tcW w:w="3606" w:type="dxa"/>
          </w:tcPr>
          <w:p w14:paraId="1E10B10E" w14:textId="77777777" w:rsidR="00445E50" w:rsidRPr="00970017" w:rsidRDefault="00445E50" w:rsidP="00970017">
            <w:pPr>
              <w:pBdr>
                <w:between w:val="nil"/>
              </w:pBdr>
              <w:spacing w:line="240" w:lineRule="auto"/>
              <w:jc w:val="center"/>
              <w:rPr>
                <w:rFonts w:ascii="Arial" w:eastAsia="Calibri" w:hAnsi="Arial" w:cs="Arial"/>
                <w:b/>
                <w:color w:val="000000"/>
                <w:rtl/>
                <w:lang w:eastAsia="fr-FR"/>
              </w:rPr>
            </w:pPr>
            <w:r w:rsidRPr="00970017">
              <w:rPr>
                <w:rFonts w:ascii="Arial" w:eastAsia="Calibri" w:hAnsi="Arial" w:cs="Arial"/>
                <w:b/>
                <w:color w:val="000000"/>
                <w:sz w:val="22"/>
                <w:rtl/>
                <w:lang w:eastAsia="fr-FR"/>
              </w:rPr>
              <w:t>جمهورية القمر المتحدة</w:t>
            </w:r>
          </w:p>
          <w:p w14:paraId="01651AD7" w14:textId="77777777" w:rsidR="00445E50" w:rsidRPr="00970017" w:rsidRDefault="00445E50" w:rsidP="00970017">
            <w:pPr>
              <w:pBdr>
                <w:between w:val="nil"/>
              </w:pBdr>
              <w:spacing w:line="240" w:lineRule="auto"/>
              <w:jc w:val="center"/>
              <w:rPr>
                <w:rFonts w:ascii="Arial" w:eastAsia="Calibri" w:hAnsi="Arial" w:cs="Arial"/>
                <w:b/>
                <w:color w:val="000000"/>
                <w:lang w:eastAsia="fr-FR"/>
              </w:rPr>
            </w:pPr>
            <w:r w:rsidRPr="00970017">
              <w:rPr>
                <w:rFonts w:ascii="Arial" w:eastAsia="Calibri" w:hAnsi="Arial" w:cs="Arial"/>
                <w:b/>
                <w:color w:val="000000"/>
                <w:sz w:val="22"/>
                <w:rtl/>
                <w:lang w:eastAsia="fr-FR"/>
              </w:rPr>
              <w:t>وجدة – تضامن – تنمية</w:t>
            </w:r>
          </w:p>
        </w:tc>
      </w:tr>
      <w:tr w:rsidR="00445E50" w:rsidRPr="00970017" w14:paraId="4CF1F61E" w14:textId="77777777" w:rsidTr="00084D0B">
        <w:tc>
          <w:tcPr>
            <w:tcW w:w="4253" w:type="dxa"/>
          </w:tcPr>
          <w:p w14:paraId="4731F714" w14:textId="77777777" w:rsidR="00445E50" w:rsidRPr="00F11784" w:rsidRDefault="00445E50" w:rsidP="00084D0B">
            <w:pPr>
              <w:pBdr>
                <w:between w:val="nil"/>
              </w:pBdr>
              <w:spacing w:line="240" w:lineRule="auto"/>
              <w:jc w:val="center"/>
              <w:rPr>
                <w:rFonts w:ascii="Arial" w:eastAsia="Calibri" w:hAnsi="Arial" w:cs="Arial"/>
                <w:bCs/>
                <w:color w:val="000000"/>
                <w:lang w:eastAsia="fr-FR"/>
              </w:rPr>
            </w:pPr>
            <w:r w:rsidRPr="00F11784">
              <w:rPr>
                <w:rFonts w:ascii="Arial" w:eastAsia="Calibri" w:hAnsi="Arial" w:cs="Arial"/>
                <w:bCs/>
                <w:color w:val="000000"/>
                <w:sz w:val="22"/>
                <w:lang w:eastAsia="fr-FR"/>
              </w:rPr>
              <w:t>MINISTÈRE DES FINANCES DU BUDGET ET DU SECTEUR BANCAIRE</w:t>
            </w:r>
          </w:p>
          <w:p w14:paraId="62E09A5C" w14:textId="77777777" w:rsidR="00445E50" w:rsidRPr="00970017" w:rsidRDefault="00445E50" w:rsidP="00084D0B">
            <w:pPr>
              <w:pBdr>
                <w:between w:val="nil"/>
              </w:pBdr>
              <w:spacing w:line="240" w:lineRule="auto"/>
              <w:jc w:val="center"/>
              <w:rPr>
                <w:rFonts w:ascii="Arial" w:eastAsia="Calibri" w:hAnsi="Arial" w:cs="Arial"/>
                <w:b/>
                <w:color w:val="000000"/>
                <w:lang w:eastAsia="fr-FR"/>
              </w:rPr>
            </w:pPr>
            <w:r w:rsidRPr="00970017">
              <w:rPr>
                <w:rFonts w:ascii="Arial" w:eastAsia="Calibri" w:hAnsi="Arial" w:cs="Arial"/>
                <w:b/>
                <w:color w:val="000000"/>
                <w:sz w:val="22"/>
                <w:rtl/>
                <w:lang w:eastAsia="fr-FR"/>
              </w:rPr>
              <w:t>ـــــــــــــــــــــــــــ</w:t>
            </w:r>
          </w:p>
          <w:p w14:paraId="5D8EA6B8" w14:textId="77777777" w:rsidR="00445E50" w:rsidRPr="00970017" w:rsidRDefault="00445E50" w:rsidP="00084D0B">
            <w:pPr>
              <w:spacing w:line="240" w:lineRule="auto"/>
              <w:jc w:val="center"/>
              <w:rPr>
                <w:rFonts w:ascii="Arial" w:eastAsia="Times New Roman" w:hAnsi="Arial" w:cs="Arial"/>
                <w:b/>
                <w:lang w:eastAsia="fr-FR"/>
              </w:rPr>
            </w:pPr>
            <w:r w:rsidRPr="00970017">
              <w:rPr>
                <w:rFonts w:ascii="Arial" w:eastAsia="Times New Roman" w:hAnsi="Arial" w:cs="Arial"/>
                <w:b/>
                <w:sz w:val="22"/>
                <w:lang w:eastAsia="fr-FR"/>
              </w:rPr>
              <w:t xml:space="preserve">LE MINISTRE </w:t>
            </w:r>
            <w:r w:rsidRPr="00970017">
              <w:rPr>
                <w:rFonts w:ascii="Arial" w:eastAsia="Times New Roman" w:hAnsi="Arial" w:cs="Arial"/>
                <w:b/>
                <w:sz w:val="22"/>
                <w:lang w:eastAsia="fr-FR"/>
              </w:rPr>
              <w:br/>
            </w:r>
          </w:p>
        </w:tc>
        <w:tc>
          <w:tcPr>
            <w:tcW w:w="2096" w:type="dxa"/>
          </w:tcPr>
          <w:p w14:paraId="449EBEE1" w14:textId="77777777" w:rsidR="00445E50" w:rsidRPr="00970017" w:rsidRDefault="00445E50" w:rsidP="00084D0B">
            <w:pPr>
              <w:pBdr>
                <w:between w:val="nil"/>
              </w:pBdr>
              <w:spacing w:line="240" w:lineRule="auto"/>
              <w:rPr>
                <w:rFonts w:ascii="Arial" w:eastAsia="Calibri" w:hAnsi="Arial" w:cs="Arial"/>
                <w:b/>
                <w:color w:val="000000"/>
                <w:lang w:eastAsia="fr-FR"/>
              </w:rPr>
            </w:pPr>
          </w:p>
          <w:p w14:paraId="190D9602" w14:textId="77777777" w:rsidR="00445E50" w:rsidRPr="00970017" w:rsidRDefault="00445E50" w:rsidP="00084D0B">
            <w:pPr>
              <w:spacing w:after="160"/>
              <w:rPr>
                <w:rFonts w:ascii="Arial" w:hAnsi="Arial" w:cs="Arial"/>
                <w:lang w:eastAsia="fr-FR"/>
              </w:rPr>
            </w:pPr>
          </w:p>
          <w:p w14:paraId="39407D27" w14:textId="77777777" w:rsidR="00445E50" w:rsidRPr="00970017" w:rsidRDefault="00445E50" w:rsidP="00084D0B">
            <w:pPr>
              <w:spacing w:after="160"/>
              <w:rPr>
                <w:rFonts w:ascii="Arial" w:hAnsi="Arial" w:cs="Arial"/>
                <w:lang w:eastAsia="fr-FR"/>
              </w:rPr>
            </w:pPr>
          </w:p>
          <w:p w14:paraId="7A0E245F" w14:textId="77777777" w:rsidR="00445E50" w:rsidRPr="00970017" w:rsidRDefault="00445E50" w:rsidP="00084D0B">
            <w:pPr>
              <w:spacing w:after="160"/>
              <w:rPr>
                <w:rFonts w:ascii="Arial" w:hAnsi="Arial" w:cs="Arial"/>
                <w:lang w:eastAsia="fr-FR"/>
              </w:rPr>
            </w:pPr>
          </w:p>
        </w:tc>
        <w:tc>
          <w:tcPr>
            <w:tcW w:w="3606" w:type="dxa"/>
          </w:tcPr>
          <w:p w14:paraId="0B963D3C" w14:textId="77777777" w:rsidR="00445E50" w:rsidRPr="00970017" w:rsidRDefault="00445E50" w:rsidP="00970017">
            <w:pPr>
              <w:pBdr>
                <w:between w:val="nil"/>
              </w:pBdr>
              <w:spacing w:line="240" w:lineRule="auto"/>
              <w:jc w:val="center"/>
              <w:rPr>
                <w:rFonts w:ascii="Arial" w:eastAsia="Andalus" w:hAnsi="Arial" w:cs="Arial"/>
                <w:b/>
                <w:color w:val="000000"/>
                <w:lang w:eastAsia="fr-FR"/>
              </w:rPr>
            </w:pPr>
            <w:r w:rsidRPr="00970017">
              <w:rPr>
                <w:rFonts w:ascii="Arial" w:eastAsia="Andalus" w:hAnsi="Arial" w:cs="Arial"/>
                <w:b/>
                <w:color w:val="000000"/>
                <w:sz w:val="22"/>
                <w:rtl/>
                <w:lang w:eastAsia="fr-FR"/>
              </w:rPr>
              <w:t>وزارة المالية والميزانية</w:t>
            </w:r>
          </w:p>
          <w:p w14:paraId="1DB7EFDB" w14:textId="77777777" w:rsidR="00445E50" w:rsidRPr="00970017" w:rsidRDefault="00445E50" w:rsidP="00970017">
            <w:pPr>
              <w:pBdr>
                <w:between w:val="nil"/>
              </w:pBdr>
              <w:spacing w:line="240" w:lineRule="auto"/>
              <w:jc w:val="center"/>
              <w:rPr>
                <w:rFonts w:ascii="Arial" w:eastAsia="Andalus" w:hAnsi="Arial" w:cs="Arial"/>
                <w:b/>
                <w:color w:val="000000"/>
                <w:lang w:eastAsia="fr-FR"/>
              </w:rPr>
            </w:pPr>
            <w:r w:rsidRPr="00970017">
              <w:rPr>
                <w:rFonts w:ascii="Arial" w:eastAsia="Calibri" w:hAnsi="Arial" w:cs="Arial"/>
                <w:noProof/>
                <w:color w:val="000000"/>
                <w:sz w:val="22"/>
                <w:rtl/>
                <w:lang w:eastAsia="fr-FR"/>
              </w:rPr>
              <w:t>المصرفيوالقطاع</w:t>
            </w:r>
          </w:p>
          <w:p w14:paraId="34795BDB" w14:textId="77777777" w:rsidR="00445E50" w:rsidRPr="00970017" w:rsidRDefault="00445E50" w:rsidP="00970017">
            <w:pPr>
              <w:pBdr>
                <w:between w:val="nil"/>
              </w:pBdr>
              <w:spacing w:line="240" w:lineRule="auto"/>
              <w:jc w:val="center"/>
              <w:rPr>
                <w:rFonts w:ascii="Arial" w:eastAsia="Andalus" w:hAnsi="Arial" w:cs="Arial"/>
                <w:b/>
                <w:color w:val="000000"/>
                <w:rtl/>
                <w:lang w:eastAsia="fr-FR"/>
              </w:rPr>
            </w:pPr>
            <w:r w:rsidRPr="00970017">
              <w:rPr>
                <w:rFonts w:ascii="Arial" w:eastAsia="Andalus" w:hAnsi="Arial" w:cs="Arial"/>
                <w:b/>
                <w:color w:val="000000"/>
                <w:sz w:val="22"/>
                <w:lang w:eastAsia="fr-FR"/>
              </w:rPr>
              <w:t>_________</w:t>
            </w:r>
          </w:p>
          <w:p w14:paraId="2EC5BC59" w14:textId="77777777" w:rsidR="00445E50" w:rsidRPr="00970017" w:rsidRDefault="00445E50" w:rsidP="00970017">
            <w:pPr>
              <w:pBdr>
                <w:between w:val="nil"/>
              </w:pBdr>
              <w:tabs>
                <w:tab w:val="left" w:pos="973"/>
                <w:tab w:val="center" w:pos="1695"/>
              </w:tabs>
              <w:spacing w:line="240" w:lineRule="auto"/>
              <w:jc w:val="center"/>
              <w:rPr>
                <w:rFonts w:ascii="Arial" w:eastAsia="Arial" w:hAnsi="Arial" w:cs="Arial"/>
                <w:b/>
                <w:color w:val="000000"/>
                <w:rtl/>
                <w:lang w:eastAsia="fr-FR"/>
              </w:rPr>
            </w:pPr>
            <w:proofErr w:type="spellStart"/>
            <w:r w:rsidRPr="00970017">
              <w:rPr>
                <w:rFonts w:ascii="Arial" w:eastAsia="Arial" w:hAnsi="Arial" w:cs="Arial"/>
                <w:b/>
                <w:color w:val="000000"/>
                <w:sz w:val="22"/>
                <w:rtl/>
                <w:lang w:eastAsia="fr-FR"/>
              </w:rPr>
              <w:t>مكتبالوزير</w:t>
            </w:r>
            <w:proofErr w:type="spellEnd"/>
          </w:p>
          <w:p w14:paraId="72D7695C" w14:textId="77777777" w:rsidR="00445E50" w:rsidRPr="00970017" w:rsidRDefault="00445E50" w:rsidP="00970017">
            <w:pPr>
              <w:pBdr>
                <w:between w:val="nil"/>
              </w:pBdr>
              <w:spacing w:line="240" w:lineRule="auto"/>
              <w:jc w:val="center"/>
              <w:rPr>
                <w:rFonts w:ascii="Arial" w:eastAsia="Arial" w:hAnsi="Arial" w:cs="Arial"/>
                <w:b/>
                <w:color w:val="000000"/>
                <w:lang w:eastAsia="fr-FR"/>
              </w:rPr>
            </w:pPr>
          </w:p>
        </w:tc>
      </w:tr>
    </w:tbl>
    <w:p w14:paraId="797BB4F0" w14:textId="77777777" w:rsidR="00970017" w:rsidRDefault="00970017" w:rsidP="00970017">
      <w:pPr>
        <w:spacing w:line="240" w:lineRule="auto"/>
        <w:rPr>
          <w:rFonts w:ascii="Arial" w:hAnsi="Arial" w:cs="Arial"/>
          <w:b/>
        </w:rPr>
      </w:pPr>
    </w:p>
    <w:p w14:paraId="19D94570" w14:textId="77777777" w:rsidR="00970017" w:rsidRDefault="00970017" w:rsidP="00970017">
      <w:pPr>
        <w:spacing w:line="240" w:lineRule="auto"/>
        <w:rPr>
          <w:rFonts w:ascii="Arial" w:hAnsi="Arial" w:cs="Arial"/>
          <w:b/>
        </w:rPr>
      </w:pPr>
    </w:p>
    <w:p w14:paraId="3F49A30B" w14:textId="77777777" w:rsidR="00445E50" w:rsidRPr="00970017" w:rsidRDefault="00084D0B" w:rsidP="00970017">
      <w:pPr>
        <w:spacing w:line="240" w:lineRule="auto"/>
        <w:rPr>
          <w:rFonts w:ascii="Arial" w:hAnsi="Arial" w:cs="Arial"/>
          <w:b/>
        </w:rPr>
      </w:pPr>
      <w:r>
        <w:rPr>
          <w:rFonts w:ascii="Arial" w:hAnsi="Arial" w:cs="Arial"/>
          <w:b/>
        </w:rPr>
        <w:t xml:space="preserve">Réf. </w:t>
      </w:r>
      <w:r w:rsidR="00445E50" w:rsidRPr="00970017">
        <w:rPr>
          <w:rFonts w:ascii="Arial" w:hAnsi="Arial" w:cs="Arial"/>
          <w:b/>
        </w:rPr>
        <w:t xml:space="preserve">N° 22-         /MFBSB/CAB                     </w:t>
      </w:r>
      <w:r w:rsidR="00445E50" w:rsidRPr="00970017">
        <w:rPr>
          <w:rFonts w:ascii="Arial" w:hAnsi="Arial" w:cs="Arial"/>
          <w:b/>
        </w:rPr>
        <w:tab/>
      </w:r>
      <w:r w:rsidR="00445E50" w:rsidRPr="00970017">
        <w:rPr>
          <w:rFonts w:ascii="Arial" w:hAnsi="Arial" w:cs="Arial"/>
          <w:b/>
        </w:rPr>
        <w:tab/>
      </w:r>
      <w:r w:rsidRPr="00970017">
        <w:rPr>
          <w:rFonts w:ascii="Arial" w:hAnsi="Arial" w:cs="Arial"/>
          <w:b/>
        </w:rPr>
        <w:t>Moroni, le</w:t>
      </w:r>
    </w:p>
    <w:p w14:paraId="0700B02C" w14:textId="77777777" w:rsidR="00445E50" w:rsidRPr="00970017" w:rsidRDefault="00445E50" w:rsidP="00445E50">
      <w:pPr>
        <w:spacing w:after="160"/>
        <w:rPr>
          <w:rFonts w:ascii="Arial" w:hAnsi="Arial" w:cs="Arial"/>
        </w:rPr>
      </w:pPr>
    </w:p>
    <w:p w14:paraId="40732CED" w14:textId="77777777" w:rsidR="005944E1" w:rsidRDefault="005944E1" w:rsidP="004941E4">
      <w:pPr>
        <w:pStyle w:val="hedi2"/>
        <w:jc w:val="left"/>
        <w:rPr>
          <w:shd w:val="clear" w:color="auto" w:fill="auto"/>
        </w:rPr>
      </w:pPr>
    </w:p>
    <w:p w14:paraId="1D8F48A1" w14:textId="70A01746" w:rsidR="00FA053B" w:rsidRPr="00F11784" w:rsidRDefault="00FA053B" w:rsidP="00FA053B">
      <w:pPr>
        <w:pStyle w:val="hedi2"/>
        <w:pBdr>
          <w:top w:val="single" w:sz="4" w:space="1" w:color="auto"/>
          <w:left w:val="single" w:sz="4" w:space="4" w:color="auto"/>
          <w:bottom w:val="single" w:sz="4" w:space="1" w:color="auto"/>
          <w:right w:val="single" w:sz="4" w:space="4" w:color="auto"/>
        </w:pBdr>
        <w:rPr>
          <w:rFonts w:ascii="Arial" w:hAnsi="Arial"/>
          <w:sz w:val="40"/>
          <w:szCs w:val="40"/>
          <w:u w:val="none"/>
        </w:rPr>
      </w:pPr>
      <w:r w:rsidRPr="00F11784">
        <w:rPr>
          <w:rFonts w:ascii="Arial" w:hAnsi="Arial"/>
          <w:sz w:val="40"/>
          <w:szCs w:val="40"/>
          <w:u w:val="none"/>
        </w:rPr>
        <w:t xml:space="preserve">Projet de </w:t>
      </w:r>
      <w:r w:rsidR="00DB2BF9">
        <w:rPr>
          <w:rFonts w:ascii="Arial" w:hAnsi="Arial"/>
          <w:sz w:val="40"/>
          <w:szCs w:val="40"/>
          <w:u w:val="none"/>
        </w:rPr>
        <w:t>L</w:t>
      </w:r>
      <w:r w:rsidRPr="00F11784">
        <w:rPr>
          <w:rFonts w:ascii="Arial" w:hAnsi="Arial"/>
          <w:sz w:val="40"/>
          <w:szCs w:val="40"/>
          <w:u w:val="none"/>
        </w:rPr>
        <w:t>oi</w:t>
      </w:r>
      <w:r w:rsidR="00DB2BF9">
        <w:rPr>
          <w:rFonts w:ascii="Arial" w:hAnsi="Arial"/>
          <w:sz w:val="40"/>
          <w:szCs w:val="40"/>
          <w:u w:val="none"/>
        </w:rPr>
        <w:t xml:space="preserve"> </w:t>
      </w:r>
      <w:r w:rsidRPr="00F11784">
        <w:rPr>
          <w:rFonts w:ascii="Arial" w:hAnsi="Arial"/>
          <w:sz w:val="40"/>
          <w:szCs w:val="40"/>
          <w:u w:val="none"/>
        </w:rPr>
        <w:t xml:space="preserve">portant réforme sur la Passation des Marchés Publics Et Délégation des Services Publics </w:t>
      </w:r>
    </w:p>
    <w:p w14:paraId="1CE21BBC" w14:textId="77777777" w:rsidR="00BD747C" w:rsidRDefault="00BD747C" w:rsidP="005944E1">
      <w:pPr>
        <w:pStyle w:val="hedi2"/>
        <w:rPr>
          <w:rFonts w:ascii="Arial" w:hAnsi="Arial"/>
        </w:rPr>
      </w:pPr>
    </w:p>
    <w:p w14:paraId="294ECD92" w14:textId="77777777" w:rsidR="008C5F57" w:rsidRPr="000E1703" w:rsidRDefault="008C5F57" w:rsidP="005944E1">
      <w:pPr>
        <w:pStyle w:val="hedi2"/>
        <w:rPr>
          <w:rFonts w:ascii="Arial" w:hAnsi="Arial"/>
        </w:rPr>
      </w:pPr>
    </w:p>
    <w:p w14:paraId="4F311E73" w14:textId="77777777" w:rsidR="00BD747C" w:rsidRPr="000E1703" w:rsidRDefault="00BD747C" w:rsidP="005944E1">
      <w:pPr>
        <w:pStyle w:val="hedi2"/>
        <w:rPr>
          <w:rFonts w:ascii="Arial" w:hAnsi="Arial"/>
        </w:rPr>
      </w:pPr>
      <w:r w:rsidRPr="000E1703">
        <w:rPr>
          <w:rFonts w:ascii="Arial" w:hAnsi="Arial"/>
        </w:rPr>
        <w:t>EXPOSÉ DE</w:t>
      </w:r>
      <w:r w:rsidR="00FA053B">
        <w:rPr>
          <w:rFonts w:ascii="Arial" w:hAnsi="Arial"/>
        </w:rPr>
        <w:t>S</w:t>
      </w:r>
      <w:r w:rsidRPr="000E1703">
        <w:rPr>
          <w:rFonts w:ascii="Arial" w:hAnsi="Arial"/>
        </w:rPr>
        <w:t xml:space="preserve"> MOTIFS </w:t>
      </w:r>
    </w:p>
    <w:p w14:paraId="2A69F566" w14:textId="77777777" w:rsidR="00031109" w:rsidRDefault="005E4582" w:rsidP="00FA053B">
      <w:pPr>
        <w:ind w:left="567"/>
        <w:jc w:val="both"/>
        <w:rPr>
          <w:rFonts w:ascii="Arial" w:hAnsi="Arial" w:cs="Arial"/>
          <w:bCs/>
        </w:rPr>
      </w:pPr>
      <w:r w:rsidRPr="001D65DB">
        <w:rPr>
          <w:rFonts w:ascii="Arial" w:hAnsi="Arial" w:cs="Arial"/>
          <w:bCs/>
        </w:rPr>
        <w:t>Excellence Monsieur le Président de l’Assemblée Nationale,</w:t>
      </w:r>
    </w:p>
    <w:p w14:paraId="3DF818CE" w14:textId="77777777" w:rsidR="005944E1" w:rsidRPr="001D65DB" w:rsidRDefault="005E4582" w:rsidP="00FA053B">
      <w:pPr>
        <w:ind w:left="567"/>
        <w:jc w:val="both"/>
        <w:rPr>
          <w:rFonts w:ascii="Arial" w:hAnsi="Arial" w:cs="Arial"/>
          <w:bCs/>
        </w:rPr>
      </w:pPr>
      <w:r w:rsidRPr="001D65DB">
        <w:rPr>
          <w:rFonts w:ascii="Arial" w:hAnsi="Arial" w:cs="Arial"/>
          <w:bCs/>
        </w:rPr>
        <w:t xml:space="preserve">Honorables députés, </w:t>
      </w:r>
    </w:p>
    <w:p w14:paraId="71DC6D00" w14:textId="77777777" w:rsidR="005E4582" w:rsidRPr="000E1703" w:rsidRDefault="005E4582" w:rsidP="00F11784">
      <w:pPr>
        <w:jc w:val="both"/>
        <w:rPr>
          <w:rFonts w:ascii="Arial" w:hAnsi="Arial" w:cs="Arial"/>
          <w:bCs/>
        </w:rPr>
      </w:pPr>
    </w:p>
    <w:p w14:paraId="304E94DC" w14:textId="59C6BB6C" w:rsidR="005944E1" w:rsidRDefault="00D32B61" w:rsidP="00F11784">
      <w:pPr>
        <w:spacing w:line="276" w:lineRule="auto"/>
        <w:ind w:right="-779"/>
        <w:jc w:val="both"/>
        <w:rPr>
          <w:rFonts w:ascii="Arial" w:hAnsi="Arial" w:cs="Arial"/>
        </w:rPr>
      </w:pPr>
      <w:r w:rsidRPr="000E1703">
        <w:rPr>
          <w:rFonts w:ascii="Arial" w:hAnsi="Arial" w:cs="Arial"/>
        </w:rPr>
        <w:t>Dix années</w:t>
      </w:r>
      <w:r w:rsidR="005944E1" w:rsidRPr="000E1703">
        <w:rPr>
          <w:rFonts w:ascii="Arial" w:hAnsi="Arial" w:cs="Arial"/>
        </w:rPr>
        <w:t xml:space="preserve">, se sont écoulées depuis l’adoption </w:t>
      </w:r>
      <w:r w:rsidR="00DC182A">
        <w:rPr>
          <w:rFonts w:ascii="Arial" w:hAnsi="Arial" w:cs="Arial"/>
        </w:rPr>
        <w:t xml:space="preserve">de </w:t>
      </w:r>
      <w:r w:rsidR="005944E1" w:rsidRPr="000E1703">
        <w:rPr>
          <w:rFonts w:ascii="Arial" w:hAnsi="Arial" w:cs="Arial"/>
        </w:rPr>
        <w:t xml:space="preserve">la Loi n° 2011-027 du 29 décembre 2011, portant </w:t>
      </w:r>
      <w:r w:rsidR="003127C1">
        <w:rPr>
          <w:rFonts w:ascii="Arial" w:hAnsi="Arial" w:cs="Arial"/>
        </w:rPr>
        <w:t>Passation des Marchés Publics et</w:t>
      </w:r>
      <w:r w:rsidR="005944E1" w:rsidRPr="000E1703">
        <w:rPr>
          <w:rFonts w:ascii="Arial" w:hAnsi="Arial" w:cs="Arial"/>
        </w:rPr>
        <w:t xml:space="preserve"> Délégation des Services Publics. Au cours de cette période, l’environnement institutionnel, social et économique </w:t>
      </w:r>
      <w:r w:rsidR="00DA396D" w:rsidRPr="001D65DB">
        <w:rPr>
          <w:rFonts w:ascii="Arial" w:hAnsi="Arial" w:cs="Arial"/>
        </w:rPr>
        <w:t>de notre pays</w:t>
      </w:r>
      <w:r w:rsidR="005944E1" w:rsidRPr="000E1703">
        <w:rPr>
          <w:rFonts w:ascii="Arial" w:hAnsi="Arial" w:cs="Arial"/>
        </w:rPr>
        <w:t xml:space="preserve">, a connu des évolutions profondes. </w:t>
      </w:r>
    </w:p>
    <w:p w14:paraId="51B17923" w14:textId="77777777" w:rsidR="00050C75" w:rsidRPr="000E1703" w:rsidRDefault="00050C75" w:rsidP="00F11784">
      <w:pPr>
        <w:spacing w:line="276" w:lineRule="auto"/>
        <w:ind w:right="-779"/>
        <w:jc w:val="both"/>
        <w:rPr>
          <w:rFonts w:ascii="Arial" w:hAnsi="Arial" w:cs="Arial"/>
        </w:rPr>
      </w:pPr>
    </w:p>
    <w:p w14:paraId="20811CEB" w14:textId="1BDE3DA2" w:rsidR="005944E1" w:rsidRPr="000E1703" w:rsidRDefault="005944E1" w:rsidP="005944E1">
      <w:pPr>
        <w:spacing w:line="276" w:lineRule="auto"/>
        <w:ind w:right="-779"/>
        <w:jc w:val="both"/>
        <w:rPr>
          <w:rFonts w:ascii="Arial" w:hAnsi="Arial" w:cs="Arial"/>
        </w:rPr>
      </w:pPr>
      <w:r w:rsidRPr="000E1703">
        <w:rPr>
          <w:rFonts w:ascii="Arial" w:hAnsi="Arial" w:cs="Arial"/>
        </w:rPr>
        <w:t>Cependant la mise en pratique des principes de liberté d'accès à la commande publique, d'égalité de traitement des candidats et de transparence dans le cadre des procédures de passation des marchés publics et délégation des services publics, soutenus par l’</w:t>
      </w:r>
      <w:r w:rsidR="00600497" w:rsidRPr="000E1703">
        <w:rPr>
          <w:rFonts w:ascii="Arial" w:hAnsi="Arial" w:cs="Arial"/>
        </w:rPr>
        <w:t>État</w:t>
      </w:r>
      <w:r w:rsidRPr="000E1703">
        <w:rPr>
          <w:rFonts w:ascii="Arial" w:hAnsi="Arial" w:cs="Arial"/>
        </w:rPr>
        <w:t xml:space="preserve"> </w:t>
      </w:r>
      <w:r w:rsidR="00D32B61" w:rsidRPr="000E1703">
        <w:rPr>
          <w:rFonts w:ascii="Arial" w:hAnsi="Arial" w:cs="Arial"/>
        </w:rPr>
        <w:t>Comorien, restent</w:t>
      </w:r>
      <w:r w:rsidRPr="000E1703">
        <w:rPr>
          <w:rFonts w:ascii="Arial" w:hAnsi="Arial" w:cs="Arial"/>
        </w:rPr>
        <w:t xml:space="preserve"> d’une indéniable actualité. </w:t>
      </w:r>
    </w:p>
    <w:p w14:paraId="143F17C0" w14:textId="77777777" w:rsidR="005944E1" w:rsidRPr="000E1703" w:rsidRDefault="005944E1" w:rsidP="005944E1">
      <w:pPr>
        <w:spacing w:line="276" w:lineRule="auto"/>
        <w:ind w:right="-779"/>
        <w:jc w:val="both"/>
        <w:rPr>
          <w:rFonts w:ascii="Arial" w:hAnsi="Arial" w:cs="Arial"/>
        </w:rPr>
      </w:pPr>
    </w:p>
    <w:p w14:paraId="537ED2F3" w14:textId="77777777" w:rsidR="005944E1" w:rsidRPr="000E1703" w:rsidRDefault="005944E1" w:rsidP="005944E1">
      <w:pPr>
        <w:spacing w:line="276" w:lineRule="auto"/>
        <w:ind w:right="-779"/>
        <w:jc w:val="both"/>
        <w:rPr>
          <w:rFonts w:ascii="Arial" w:hAnsi="Arial" w:cs="Arial"/>
        </w:rPr>
      </w:pPr>
      <w:r w:rsidRPr="000E1703">
        <w:rPr>
          <w:rFonts w:ascii="Arial" w:hAnsi="Arial" w:cs="Arial"/>
        </w:rPr>
        <w:t>Ils s’intègrent désormais dans une forte volonté de concrétiser et d’assurer, au bénéfice de l’Union des Comores, de son économie et de tout citoyen, l’efficacité de la commande publique et la bonne utilisation des deniers publics.</w:t>
      </w:r>
    </w:p>
    <w:p w14:paraId="436FA8F1" w14:textId="77777777" w:rsidR="005944E1" w:rsidRPr="000E1703" w:rsidRDefault="005944E1" w:rsidP="005944E1">
      <w:pPr>
        <w:spacing w:line="276" w:lineRule="auto"/>
        <w:ind w:right="-779"/>
        <w:jc w:val="both"/>
        <w:rPr>
          <w:rFonts w:ascii="Arial" w:hAnsi="Arial" w:cs="Arial"/>
        </w:rPr>
      </w:pPr>
    </w:p>
    <w:p w14:paraId="2DB0F846" w14:textId="1A3AAC8E" w:rsidR="005944E1" w:rsidRPr="000E1703" w:rsidRDefault="005944E1" w:rsidP="005944E1">
      <w:pPr>
        <w:spacing w:line="276" w:lineRule="auto"/>
        <w:ind w:right="-779"/>
        <w:jc w:val="both"/>
        <w:rPr>
          <w:rFonts w:ascii="Arial" w:hAnsi="Arial" w:cs="Arial"/>
        </w:rPr>
      </w:pPr>
      <w:r w:rsidRPr="000E1703">
        <w:rPr>
          <w:rFonts w:ascii="Arial" w:hAnsi="Arial" w:cs="Arial"/>
        </w:rPr>
        <w:t>Il  appartient dès lors, au</w:t>
      </w:r>
      <w:r w:rsidR="00D32B61">
        <w:rPr>
          <w:rFonts w:ascii="Arial" w:hAnsi="Arial" w:cs="Arial"/>
        </w:rPr>
        <w:t xml:space="preserve"> </w:t>
      </w:r>
      <w:r w:rsidR="00D32B61" w:rsidRPr="000E1703">
        <w:rPr>
          <w:rFonts w:ascii="Arial" w:hAnsi="Arial" w:cs="Arial"/>
        </w:rPr>
        <w:t>législateur Comorien</w:t>
      </w:r>
      <w:r w:rsidRPr="000E1703">
        <w:rPr>
          <w:rFonts w:ascii="Arial" w:hAnsi="Arial" w:cs="Arial"/>
        </w:rPr>
        <w:t>, de repenser les procédures actuelles de passation des  Marchés  Publics  et  Délégation  des Services Publics ,  afin  de  les  moderniser,   conformément  à la stratégie nationale sur l’économie du numérique à l’horizon 2028, «</w:t>
      </w:r>
      <w:r w:rsidRPr="000E1703">
        <w:rPr>
          <w:rFonts w:ascii="Arial" w:hAnsi="Arial" w:cs="Arial"/>
          <w:b/>
          <w:bCs/>
        </w:rPr>
        <w:t>Comores Numérique</w:t>
      </w:r>
      <w:r w:rsidRPr="000E1703">
        <w:rPr>
          <w:rFonts w:ascii="Arial" w:hAnsi="Arial" w:cs="Arial"/>
        </w:rPr>
        <w:t xml:space="preserve">» et d’intégrer  par conséquent le souci  d’une  meilleure  transparence des processus participatifs  </w:t>
      </w:r>
      <w:r w:rsidRPr="000E1703">
        <w:rPr>
          <w:rFonts w:ascii="Arial" w:hAnsi="Arial" w:cs="Arial"/>
          <w:lang w:val="fr-CA"/>
        </w:rPr>
        <w:t xml:space="preserve">à travers un droit d’accès des </w:t>
      </w:r>
      <w:r w:rsidRPr="000E1703">
        <w:rPr>
          <w:rFonts w:ascii="Arial" w:hAnsi="Arial" w:cs="Arial"/>
          <w:lang w:val="fr-CA"/>
        </w:rPr>
        <w:lastRenderedPageBreak/>
        <w:t>groupements socio-économiques, des citoyens et de la société civile, aux informations relatives  à la passation des marchés publics et délégation des services publics.</w:t>
      </w:r>
    </w:p>
    <w:p w14:paraId="79315D48" w14:textId="77777777" w:rsidR="005944E1" w:rsidRPr="000E1703" w:rsidRDefault="005944E1" w:rsidP="005944E1">
      <w:pPr>
        <w:rPr>
          <w:rFonts w:ascii="Arial" w:hAnsi="Arial" w:cs="Arial"/>
        </w:rPr>
      </w:pPr>
    </w:p>
    <w:p w14:paraId="75D49AC6" w14:textId="77777777" w:rsidR="005944E1" w:rsidRPr="000E1703" w:rsidRDefault="005944E1" w:rsidP="005944E1">
      <w:pPr>
        <w:spacing w:line="276" w:lineRule="auto"/>
        <w:ind w:right="-779"/>
        <w:jc w:val="both"/>
        <w:rPr>
          <w:rFonts w:ascii="Arial" w:hAnsi="Arial" w:cs="Arial"/>
        </w:rPr>
      </w:pPr>
      <w:r w:rsidRPr="000E1703">
        <w:rPr>
          <w:rFonts w:ascii="Arial" w:hAnsi="Arial" w:cs="Arial"/>
        </w:rPr>
        <w:t>L'objectif du présent projet de loi portant réforme des procédures de passation des marchés publics et délégation des services publics, est avant tout la simplification des textes et des procédures, en renforçant les soucis de transparence et de la confiance du public, exprimés, lors de ces dernières années par l’intermédiaire de l’informatisation de la gestion appels d’offres pour les Marchés Publics et   de la Délégation des Services Publics.</w:t>
      </w:r>
    </w:p>
    <w:p w14:paraId="78429570" w14:textId="77777777" w:rsidR="005944E1" w:rsidRPr="000E1703" w:rsidRDefault="005944E1" w:rsidP="005944E1">
      <w:pPr>
        <w:rPr>
          <w:rFonts w:ascii="Arial" w:hAnsi="Arial" w:cs="Arial"/>
        </w:rPr>
      </w:pPr>
    </w:p>
    <w:p w14:paraId="2D6BDF1A" w14:textId="77777777" w:rsidR="005944E1" w:rsidRPr="000E1703" w:rsidRDefault="005944E1" w:rsidP="005944E1">
      <w:pPr>
        <w:spacing w:line="276" w:lineRule="auto"/>
        <w:ind w:right="-779"/>
        <w:jc w:val="both"/>
        <w:rPr>
          <w:rFonts w:ascii="Arial" w:hAnsi="Arial" w:cs="Arial"/>
        </w:rPr>
      </w:pPr>
      <w:r w:rsidRPr="000E1703">
        <w:rPr>
          <w:rFonts w:ascii="Arial" w:hAnsi="Arial" w:cs="Arial"/>
        </w:rPr>
        <w:t xml:space="preserve">Dans le cadre de son programme d’e-Gouvernement, le Gouvernement </w:t>
      </w:r>
      <w:r w:rsidR="00445E50" w:rsidRPr="000E1703">
        <w:rPr>
          <w:rFonts w:ascii="Arial" w:hAnsi="Arial" w:cs="Arial"/>
        </w:rPr>
        <w:t>Comorien,</w:t>
      </w:r>
      <w:r w:rsidRPr="000E1703">
        <w:rPr>
          <w:rFonts w:ascii="Arial" w:hAnsi="Arial" w:cs="Arial"/>
        </w:rPr>
        <w:t xml:space="preserve"> a donc </w:t>
      </w:r>
      <w:r w:rsidR="00CC33FC" w:rsidRPr="000E1703">
        <w:rPr>
          <w:rFonts w:ascii="Arial" w:hAnsi="Arial" w:cs="Arial"/>
        </w:rPr>
        <w:t>identifié l’informatisation</w:t>
      </w:r>
      <w:r w:rsidRPr="000E1703">
        <w:rPr>
          <w:rFonts w:ascii="Arial" w:hAnsi="Arial" w:cs="Arial"/>
        </w:rPr>
        <w:t xml:space="preserve"> de la passation </w:t>
      </w:r>
      <w:r w:rsidR="00CC33FC" w:rsidRPr="000E1703">
        <w:rPr>
          <w:rFonts w:ascii="Arial" w:hAnsi="Arial" w:cs="Arial"/>
        </w:rPr>
        <w:t>des Marchés Publics, parmi</w:t>
      </w:r>
      <w:r w:rsidRPr="000E1703">
        <w:rPr>
          <w:rFonts w:ascii="Arial" w:hAnsi="Arial" w:cs="Arial"/>
        </w:rPr>
        <w:t xml:space="preserve"> les chantiers prioritaires à mettre en œuvre. </w:t>
      </w:r>
    </w:p>
    <w:p w14:paraId="1E5AB433" w14:textId="77777777" w:rsidR="005944E1" w:rsidRPr="000E1703" w:rsidRDefault="005944E1" w:rsidP="005944E1">
      <w:pPr>
        <w:spacing w:line="276" w:lineRule="auto"/>
        <w:ind w:right="-779"/>
        <w:jc w:val="both"/>
        <w:rPr>
          <w:rFonts w:ascii="Arial" w:hAnsi="Arial" w:cs="Arial"/>
        </w:rPr>
      </w:pPr>
    </w:p>
    <w:p w14:paraId="18BFD482" w14:textId="32FBA3B0" w:rsidR="005944E1" w:rsidRPr="000E1703" w:rsidRDefault="005944E1" w:rsidP="005944E1">
      <w:pPr>
        <w:spacing w:line="276" w:lineRule="auto"/>
        <w:ind w:right="-779"/>
        <w:jc w:val="both"/>
        <w:rPr>
          <w:rFonts w:ascii="Arial" w:hAnsi="Arial" w:cs="Arial"/>
        </w:rPr>
      </w:pPr>
      <w:r w:rsidRPr="000E1703">
        <w:rPr>
          <w:rFonts w:ascii="Arial" w:hAnsi="Arial" w:cs="Arial"/>
        </w:rPr>
        <w:t xml:space="preserve">La future application a été sélectionnée comme un des « </w:t>
      </w:r>
      <w:r w:rsidRPr="000E1703">
        <w:rPr>
          <w:rFonts w:ascii="Arial" w:hAnsi="Arial" w:cs="Arial"/>
          <w:b/>
          <w:bCs/>
        </w:rPr>
        <w:t>projets phares</w:t>
      </w:r>
      <w:r w:rsidRPr="000E1703">
        <w:rPr>
          <w:rFonts w:ascii="Arial" w:hAnsi="Arial" w:cs="Arial"/>
        </w:rPr>
        <w:t xml:space="preserve"> », financée par la Banque Mondiale à travers le projet RCIP</w:t>
      </w:r>
      <w:r w:rsidR="008453DF" w:rsidRPr="000E1703">
        <w:rPr>
          <w:rFonts w:ascii="Arial" w:hAnsi="Arial" w:cs="Arial"/>
        </w:rPr>
        <w:t>4,</w:t>
      </w:r>
      <w:r w:rsidRPr="000E1703">
        <w:rPr>
          <w:rFonts w:ascii="Arial" w:hAnsi="Arial" w:cs="Arial"/>
        </w:rPr>
        <w:t xml:space="preserve"> ce qui permettra de mettre en place des exemples de bonnes pratiques </w:t>
      </w:r>
      <w:r w:rsidR="008453DF" w:rsidRPr="000E1703">
        <w:rPr>
          <w:rFonts w:ascii="Arial" w:hAnsi="Arial" w:cs="Arial"/>
        </w:rPr>
        <w:t>mondiales,</w:t>
      </w:r>
      <w:r w:rsidRPr="000E1703">
        <w:rPr>
          <w:rFonts w:ascii="Arial" w:hAnsi="Arial" w:cs="Arial"/>
        </w:rPr>
        <w:t xml:space="preserve"> à travers une utilisation plus large d'outils numériques et pour l’alignement des procédures nationales sur </w:t>
      </w:r>
      <w:r w:rsidR="008453DF" w:rsidRPr="000E1703">
        <w:rPr>
          <w:rFonts w:ascii="Arial" w:hAnsi="Arial" w:cs="Arial"/>
        </w:rPr>
        <w:t>les Standards Internationaux</w:t>
      </w:r>
      <w:r w:rsidRPr="000E1703">
        <w:rPr>
          <w:rFonts w:ascii="Arial" w:hAnsi="Arial" w:cs="Arial"/>
        </w:rPr>
        <w:t xml:space="preserve">. </w:t>
      </w:r>
    </w:p>
    <w:p w14:paraId="124839C0" w14:textId="77777777" w:rsidR="005944E1" w:rsidRPr="000E1703" w:rsidRDefault="005944E1" w:rsidP="005944E1">
      <w:pPr>
        <w:rPr>
          <w:rFonts w:ascii="Arial" w:hAnsi="Arial" w:cs="Arial"/>
        </w:rPr>
      </w:pPr>
    </w:p>
    <w:p w14:paraId="77DC28E7" w14:textId="77777777" w:rsidR="005944E1" w:rsidRPr="000E1703" w:rsidRDefault="005944E1" w:rsidP="005944E1">
      <w:pPr>
        <w:spacing w:line="276" w:lineRule="auto"/>
        <w:ind w:right="-779"/>
        <w:jc w:val="both"/>
        <w:rPr>
          <w:rFonts w:ascii="Arial" w:hAnsi="Arial" w:cs="Arial"/>
        </w:rPr>
      </w:pPr>
    </w:p>
    <w:p w14:paraId="541A21EC" w14:textId="46BF3E63" w:rsidR="005944E1" w:rsidRPr="000E1703" w:rsidRDefault="005944E1" w:rsidP="005944E1">
      <w:pPr>
        <w:spacing w:line="276" w:lineRule="auto"/>
        <w:ind w:right="-779"/>
        <w:jc w:val="both"/>
        <w:rPr>
          <w:rFonts w:ascii="Arial" w:hAnsi="Arial" w:cs="Arial"/>
        </w:rPr>
      </w:pPr>
      <w:r w:rsidRPr="000E1703">
        <w:rPr>
          <w:rFonts w:ascii="Arial" w:hAnsi="Arial" w:cs="Arial"/>
        </w:rPr>
        <w:t xml:space="preserve">La </w:t>
      </w:r>
      <w:r w:rsidR="008453DF" w:rsidRPr="000E1703">
        <w:rPr>
          <w:rFonts w:ascii="Arial" w:hAnsi="Arial" w:cs="Arial"/>
        </w:rPr>
        <w:t>réforme proposée</w:t>
      </w:r>
      <w:r w:rsidRPr="000E1703">
        <w:rPr>
          <w:rFonts w:ascii="Arial" w:hAnsi="Arial" w:cs="Arial"/>
        </w:rPr>
        <w:t xml:space="preserve"> du Code Comorien de passation des Marchés Publics et Délégation des Services Publics, s’articule pour l</w:t>
      </w:r>
      <w:r w:rsidR="0043731B" w:rsidRPr="000E1703">
        <w:rPr>
          <w:rFonts w:ascii="Arial" w:hAnsi="Arial" w:cs="Arial"/>
        </w:rPr>
        <w:t xml:space="preserve">’essentiel autour des idées </w:t>
      </w:r>
      <w:r w:rsidR="0043731B" w:rsidRPr="001D65DB">
        <w:rPr>
          <w:rFonts w:ascii="Arial" w:hAnsi="Arial" w:cs="Arial"/>
        </w:rPr>
        <w:t>fort</w:t>
      </w:r>
      <w:r w:rsidRPr="001D65DB">
        <w:rPr>
          <w:rFonts w:ascii="Arial" w:hAnsi="Arial" w:cs="Arial"/>
        </w:rPr>
        <w:t>es</w:t>
      </w:r>
      <w:r w:rsidRPr="000E1703">
        <w:rPr>
          <w:rFonts w:ascii="Arial" w:hAnsi="Arial" w:cs="Arial"/>
        </w:rPr>
        <w:t xml:space="preserve"> ci-après :</w:t>
      </w:r>
    </w:p>
    <w:p w14:paraId="09944C41" w14:textId="77777777" w:rsidR="005944E1" w:rsidRPr="000E1703" w:rsidRDefault="005944E1" w:rsidP="005944E1">
      <w:pPr>
        <w:rPr>
          <w:rFonts w:ascii="Arial" w:hAnsi="Arial" w:cs="Arial"/>
        </w:rPr>
      </w:pPr>
    </w:p>
    <w:p w14:paraId="193E1436" w14:textId="60CDFF73" w:rsidR="005944E1" w:rsidRPr="000E1703" w:rsidRDefault="005944E1" w:rsidP="005944E1">
      <w:pPr>
        <w:numPr>
          <w:ilvl w:val="0"/>
          <w:numId w:val="2"/>
        </w:numPr>
        <w:ind w:right="-779"/>
        <w:jc w:val="both"/>
        <w:rPr>
          <w:rFonts w:ascii="Arial" w:hAnsi="Arial" w:cs="Arial"/>
        </w:rPr>
      </w:pPr>
      <w:r w:rsidRPr="000E1703">
        <w:rPr>
          <w:rFonts w:ascii="Arial" w:hAnsi="Arial" w:cs="Arial"/>
        </w:rPr>
        <w:t>Renforcer</w:t>
      </w:r>
      <w:r w:rsidR="00D60949">
        <w:rPr>
          <w:rFonts w:ascii="Arial" w:hAnsi="Arial" w:cs="Arial"/>
        </w:rPr>
        <w:t xml:space="preserve"> </w:t>
      </w:r>
      <w:r w:rsidRPr="000E1703">
        <w:rPr>
          <w:rFonts w:ascii="Arial" w:hAnsi="Arial" w:cs="Arial"/>
        </w:rPr>
        <w:t>la transparence des procédures de passation des Marchés Publics et Délégation des Services Publics ;</w:t>
      </w:r>
    </w:p>
    <w:p w14:paraId="7D9A10BD" w14:textId="77777777" w:rsidR="005944E1" w:rsidRPr="000E1703" w:rsidRDefault="005944E1" w:rsidP="005944E1">
      <w:pPr>
        <w:ind w:right="-779"/>
        <w:jc w:val="both"/>
        <w:rPr>
          <w:rFonts w:ascii="Arial" w:hAnsi="Arial" w:cs="Arial"/>
        </w:rPr>
      </w:pPr>
    </w:p>
    <w:p w14:paraId="1A811A8C" w14:textId="457DC812" w:rsidR="005944E1" w:rsidRPr="000E1703" w:rsidRDefault="005944E1" w:rsidP="005944E1">
      <w:pPr>
        <w:numPr>
          <w:ilvl w:val="0"/>
          <w:numId w:val="2"/>
        </w:numPr>
        <w:ind w:right="-779"/>
        <w:jc w:val="both"/>
        <w:rPr>
          <w:rFonts w:ascii="Arial" w:hAnsi="Arial" w:cs="Arial"/>
        </w:rPr>
      </w:pPr>
      <w:r w:rsidRPr="000E1703">
        <w:rPr>
          <w:rFonts w:ascii="Arial" w:hAnsi="Arial" w:cs="Arial"/>
          <w:lang w:val="fr-CA"/>
        </w:rPr>
        <w:t xml:space="preserve">Réformer les textes existants pour imposer l’utilisation d’une solution </w:t>
      </w:r>
      <w:r w:rsidR="005D1986" w:rsidRPr="000E1703">
        <w:rPr>
          <w:rFonts w:ascii="Arial" w:hAnsi="Arial" w:cs="Arial"/>
          <w:lang w:val="fr-CA"/>
        </w:rPr>
        <w:t>informatique de</w:t>
      </w:r>
      <w:r w:rsidRPr="000E1703">
        <w:rPr>
          <w:rFonts w:ascii="Arial" w:hAnsi="Arial" w:cs="Arial"/>
          <w:lang w:val="fr-CA"/>
        </w:rPr>
        <w:t xml:space="preserve"> gestion des appels d’offres</w:t>
      </w:r>
      <w:r w:rsidR="00D60949">
        <w:rPr>
          <w:rFonts w:ascii="Arial" w:hAnsi="Arial" w:cs="Arial"/>
          <w:lang w:val="fr-CA"/>
        </w:rPr>
        <w:t xml:space="preserve"> </w:t>
      </w:r>
      <w:r w:rsidRPr="000E1703">
        <w:rPr>
          <w:rFonts w:ascii="Arial" w:hAnsi="Arial" w:cs="Arial"/>
          <w:lang w:val="fr-CA"/>
        </w:rPr>
        <w:t>publics</w:t>
      </w:r>
      <w:r w:rsidR="00D60949">
        <w:rPr>
          <w:rFonts w:ascii="Arial" w:hAnsi="Arial" w:cs="Arial"/>
          <w:lang w:val="fr-CA"/>
        </w:rPr>
        <w:t xml:space="preserve"> </w:t>
      </w:r>
      <w:r w:rsidRPr="000E1703">
        <w:rPr>
          <w:rFonts w:ascii="Arial" w:hAnsi="Arial" w:cs="Arial"/>
          <w:lang w:val="fr-CA"/>
        </w:rPr>
        <w:t xml:space="preserve">en ligne </w:t>
      </w:r>
      <w:r w:rsidRPr="000E1703">
        <w:rPr>
          <w:rFonts w:ascii="Arial" w:hAnsi="Arial" w:cs="Arial"/>
        </w:rPr>
        <w:t xml:space="preserve">pour </w:t>
      </w:r>
      <w:r w:rsidR="005D1986" w:rsidRPr="000E1703">
        <w:rPr>
          <w:rFonts w:ascii="Arial" w:hAnsi="Arial" w:cs="Arial"/>
        </w:rPr>
        <w:t>la passation</w:t>
      </w:r>
      <w:r w:rsidRPr="000E1703">
        <w:rPr>
          <w:rFonts w:ascii="Arial" w:hAnsi="Arial" w:cs="Arial"/>
        </w:rPr>
        <w:t xml:space="preserve"> des Marchés Publics et Délégation des Services Publics ;</w:t>
      </w:r>
    </w:p>
    <w:p w14:paraId="65E4384F" w14:textId="77777777" w:rsidR="005944E1" w:rsidRPr="000E1703" w:rsidRDefault="005944E1" w:rsidP="005944E1">
      <w:pPr>
        <w:ind w:right="-779"/>
        <w:jc w:val="both"/>
        <w:rPr>
          <w:rFonts w:ascii="Arial" w:hAnsi="Arial" w:cs="Arial"/>
        </w:rPr>
      </w:pPr>
    </w:p>
    <w:p w14:paraId="7F512B87" w14:textId="77777777" w:rsidR="005944E1" w:rsidRPr="000E1703" w:rsidRDefault="005944E1" w:rsidP="005944E1">
      <w:pPr>
        <w:numPr>
          <w:ilvl w:val="0"/>
          <w:numId w:val="2"/>
        </w:numPr>
        <w:ind w:right="-779"/>
        <w:jc w:val="both"/>
        <w:rPr>
          <w:rFonts w:ascii="Arial" w:hAnsi="Arial" w:cs="Arial"/>
        </w:rPr>
      </w:pPr>
      <w:r w:rsidRPr="000E1703">
        <w:rPr>
          <w:rFonts w:ascii="Arial" w:hAnsi="Arial" w:cs="Arial"/>
          <w:lang w:val="fr-CA"/>
        </w:rPr>
        <w:t>Introduire le recours obligatoire à l’Achat Public Durable à travers la réforme des textes existants ;</w:t>
      </w:r>
    </w:p>
    <w:p w14:paraId="67FFCB68" w14:textId="77777777" w:rsidR="005944E1" w:rsidRPr="000E1703" w:rsidRDefault="005944E1" w:rsidP="005944E1">
      <w:pPr>
        <w:ind w:right="-779"/>
        <w:jc w:val="both"/>
        <w:rPr>
          <w:rFonts w:ascii="Arial" w:hAnsi="Arial" w:cs="Arial"/>
        </w:rPr>
      </w:pPr>
    </w:p>
    <w:p w14:paraId="5B2B4E3D" w14:textId="77777777" w:rsidR="005944E1" w:rsidRPr="000E1703" w:rsidRDefault="005944E1" w:rsidP="005944E1">
      <w:pPr>
        <w:numPr>
          <w:ilvl w:val="0"/>
          <w:numId w:val="2"/>
        </w:numPr>
        <w:ind w:right="-779"/>
        <w:jc w:val="both"/>
        <w:rPr>
          <w:rFonts w:ascii="Arial" w:hAnsi="Arial" w:cs="Arial"/>
        </w:rPr>
      </w:pPr>
      <w:r w:rsidRPr="000E1703">
        <w:rPr>
          <w:rFonts w:ascii="Arial" w:hAnsi="Arial" w:cs="Arial"/>
        </w:rPr>
        <w:t xml:space="preserve">Octroyer un droit d’accès </w:t>
      </w:r>
      <w:r w:rsidRPr="000E1703">
        <w:rPr>
          <w:rFonts w:ascii="Arial" w:hAnsi="Arial" w:cs="Arial"/>
          <w:lang w:val="fr-CA"/>
        </w:rPr>
        <w:t>aux groupements socio-économiques, aux citoyens et à la société civile, aux informations relatives à la passation des marchés publics et délégation des services publics.</w:t>
      </w:r>
    </w:p>
    <w:p w14:paraId="276564DC" w14:textId="77777777" w:rsidR="005944E1" w:rsidRPr="000E1703" w:rsidRDefault="005944E1" w:rsidP="005944E1">
      <w:pPr>
        <w:rPr>
          <w:rFonts w:ascii="Arial" w:hAnsi="Arial" w:cs="Arial"/>
        </w:rPr>
      </w:pPr>
    </w:p>
    <w:p w14:paraId="77DB1892" w14:textId="2E678198" w:rsidR="005944E1" w:rsidRPr="000E1703" w:rsidRDefault="005944E1" w:rsidP="005944E1">
      <w:pPr>
        <w:numPr>
          <w:ilvl w:val="0"/>
          <w:numId w:val="2"/>
        </w:numPr>
        <w:ind w:right="-779"/>
        <w:jc w:val="both"/>
        <w:rPr>
          <w:rFonts w:ascii="Arial" w:hAnsi="Arial" w:cs="Arial"/>
        </w:rPr>
      </w:pPr>
      <w:r w:rsidRPr="001D65DB">
        <w:rPr>
          <w:rFonts w:ascii="Arial" w:hAnsi="Arial" w:cs="Arial"/>
        </w:rPr>
        <w:t xml:space="preserve">Le projet de </w:t>
      </w:r>
      <w:r w:rsidR="00B116D1" w:rsidRPr="001D65DB">
        <w:rPr>
          <w:rFonts w:ascii="Arial" w:hAnsi="Arial" w:cs="Arial"/>
        </w:rPr>
        <w:t xml:space="preserve">loi portant </w:t>
      </w:r>
      <w:r w:rsidR="00CC33FC" w:rsidRPr="001D65DB">
        <w:rPr>
          <w:rFonts w:ascii="Arial" w:hAnsi="Arial" w:cs="Arial"/>
        </w:rPr>
        <w:t xml:space="preserve">réforme </w:t>
      </w:r>
      <w:r w:rsidR="000E1703" w:rsidRPr="001D65DB">
        <w:rPr>
          <w:rFonts w:ascii="Arial" w:hAnsi="Arial" w:cs="Arial"/>
        </w:rPr>
        <w:t xml:space="preserve">sur la </w:t>
      </w:r>
      <w:r w:rsidR="00CC33FC" w:rsidRPr="001D65DB">
        <w:rPr>
          <w:rFonts w:ascii="Arial" w:hAnsi="Arial" w:cs="Arial"/>
        </w:rPr>
        <w:t>passation des Marchés Publics et Délégation des Services Publics</w:t>
      </w:r>
      <w:r w:rsidR="000E1703" w:rsidRPr="001D65DB">
        <w:rPr>
          <w:rFonts w:ascii="Arial" w:hAnsi="Arial" w:cs="Arial"/>
        </w:rPr>
        <w:t xml:space="preserve">, par </w:t>
      </w:r>
      <w:r w:rsidR="00B116D1" w:rsidRPr="001D65DB">
        <w:rPr>
          <w:rFonts w:ascii="Arial" w:hAnsi="Arial" w:cs="Arial"/>
        </w:rPr>
        <w:t>amendement</w:t>
      </w:r>
      <w:r w:rsidRPr="001D65DB">
        <w:rPr>
          <w:rFonts w:ascii="Arial" w:hAnsi="Arial" w:cs="Arial"/>
        </w:rPr>
        <w:t xml:space="preserve"> de la Loi n° 2011-027</w:t>
      </w:r>
      <w:r w:rsidR="0043731B" w:rsidRPr="001D65DB">
        <w:rPr>
          <w:rFonts w:ascii="Arial" w:hAnsi="Arial" w:cs="Arial"/>
        </w:rPr>
        <w:t>/AU</w:t>
      </w:r>
      <w:r w:rsidRPr="001D65DB">
        <w:rPr>
          <w:rFonts w:ascii="Arial" w:hAnsi="Arial" w:cs="Arial"/>
        </w:rPr>
        <w:t xml:space="preserve"> du 29 décembre </w:t>
      </w:r>
      <w:r w:rsidR="00D60949" w:rsidRPr="001D65DB">
        <w:rPr>
          <w:rFonts w:ascii="Arial" w:hAnsi="Arial" w:cs="Arial"/>
        </w:rPr>
        <w:t>2011,</w:t>
      </w:r>
      <w:r w:rsidR="00D60949" w:rsidRPr="000E1703">
        <w:rPr>
          <w:rFonts w:ascii="Arial" w:hAnsi="Arial" w:cs="Arial"/>
        </w:rPr>
        <w:t xml:space="preserve"> comporte</w:t>
      </w:r>
      <w:r w:rsidRPr="000E1703">
        <w:rPr>
          <w:rFonts w:ascii="Arial" w:hAnsi="Arial" w:cs="Arial"/>
        </w:rPr>
        <w:t xml:space="preserve"> </w:t>
      </w:r>
      <w:r w:rsidRPr="000E1703">
        <w:rPr>
          <w:rFonts w:ascii="Arial" w:hAnsi="Arial" w:cs="Arial"/>
          <w:b/>
          <w:bCs/>
          <w:u w:val="single"/>
        </w:rPr>
        <w:t xml:space="preserve">l’annulation de sept articles anciens et leur remplacement par des articles </w:t>
      </w:r>
      <w:r w:rsidR="004941E4" w:rsidRPr="000E1703">
        <w:rPr>
          <w:rFonts w:ascii="Arial" w:hAnsi="Arial" w:cs="Arial"/>
          <w:b/>
          <w:bCs/>
          <w:u w:val="single"/>
        </w:rPr>
        <w:t>nouveaux,</w:t>
      </w:r>
      <w:r w:rsidRPr="000E1703">
        <w:rPr>
          <w:rFonts w:ascii="Arial" w:hAnsi="Arial" w:cs="Arial"/>
        </w:rPr>
        <w:t xml:space="preserve"> ainsi que l’Ajout de huit articles non prévus dans le texte initial </w:t>
      </w:r>
      <w:r w:rsidR="00CC33FC" w:rsidRPr="000E1703">
        <w:rPr>
          <w:rFonts w:ascii="Arial" w:hAnsi="Arial" w:cs="Arial"/>
        </w:rPr>
        <w:t>de l’ancienne</w:t>
      </w:r>
      <w:r w:rsidRPr="000E1703">
        <w:rPr>
          <w:rFonts w:ascii="Arial" w:hAnsi="Arial" w:cs="Arial"/>
        </w:rPr>
        <w:t xml:space="preserve"> Loi.</w:t>
      </w:r>
    </w:p>
    <w:p w14:paraId="2B4A9246" w14:textId="77777777" w:rsidR="005944E1" w:rsidRPr="000E1703" w:rsidRDefault="005944E1" w:rsidP="005944E1">
      <w:pPr>
        <w:ind w:right="-779"/>
        <w:jc w:val="both"/>
        <w:rPr>
          <w:rFonts w:ascii="Arial" w:hAnsi="Arial" w:cs="Arial"/>
        </w:rPr>
      </w:pPr>
    </w:p>
    <w:p w14:paraId="66DA5D5F" w14:textId="53E36F85" w:rsidR="000E1703" w:rsidRDefault="005944E1" w:rsidP="005944E1">
      <w:pPr>
        <w:ind w:right="-779"/>
        <w:jc w:val="both"/>
        <w:rPr>
          <w:rFonts w:ascii="Arial" w:hAnsi="Arial" w:cs="Arial"/>
        </w:rPr>
      </w:pPr>
      <w:r w:rsidRPr="000E1703">
        <w:rPr>
          <w:rFonts w:ascii="Arial" w:hAnsi="Arial" w:cs="Arial"/>
        </w:rPr>
        <w:t xml:space="preserve">Le présent exposé de motifs, a pour </w:t>
      </w:r>
      <w:r w:rsidR="000E1703" w:rsidRPr="000E1703">
        <w:rPr>
          <w:rFonts w:ascii="Arial" w:hAnsi="Arial" w:cs="Arial"/>
        </w:rPr>
        <w:t>but de détailler</w:t>
      </w:r>
      <w:r w:rsidR="00D60949">
        <w:rPr>
          <w:rFonts w:ascii="Arial" w:hAnsi="Arial" w:cs="Arial"/>
        </w:rPr>
        <w:t xml:space="preserve"> </w:t>
      </w:r>
      <w:r w:rsidR="000E1703" w:rsidRPr="000E1703">
        <w:rPr>
          <w:rFonts w:ascii="Arial" w:hAnsi="Arial" w:cs="Arial"/>
        </w:rPr>
        <w:t>et d’expliquer</w:t>
      </w:r>
      <w:r w:rsidRPr="000E1703">
        <w:rPr>
          <w:rFonts w:ascii="Arial" w:hAnsi="Arial" w:cs="Arial"/>
        </w:rPr>
        <w:t xml:space="preserve"> les Amendements ainsi que </w:t>
      </w:r>
      <w:r w:rsidR="000E1703" w:rsidRPr="000E1703">
        <w:rPr>
          <w:rFonts w:ascii="Arial" w:hAnsi="Arial" w:cs="Arial"/>
        </w:rPr>
        <w:t>les Ajouts</w:t>
      </w:r>
      <w:r w:rsidRPr="000E1703">
        <w:rPr>
          <w:rFonts w:ascii="Arial" w:hAnsi="Arial" w:cs="Arial"/>
        </w:rPr>
        <w:t xml:space="preserve"> proposés comme suit :</w:t>
      </w:r>
    </w:p>
    <w:p w14:paraId="623CEC76" w14:textId="77777777" w:rsidR="0088565F" w:rsidRDefault="0088565F" w:rsidP="005944E1">
      <w:pPr>
        <w:ind w:right="-779"/>
        <w:jc w:val="both"/>
        <w:rPr>
          <w:rFonts w:ascii="Arial" w:hAnsi="Arial" w:cs="Arial"/>
        </w:rPr>
      </w:pPr>
    </w:p>
    <w:p w14:paraId="56485ABC" w14:textId="77777777" w:rsidR="00F11784" w:rsidRPr="00F11784" w:rsidRDefault="00F11784" w:rsidP="005944E1">
      <w:pPr>
        <w:ind w:right="-779"/>
        <w:jc w:val="both"/>
        <w:rPr>
          <w:rFonts w:ascii="Arial" w:hAnsi="Arial" w:cs="Arial"/>
        </w:rPr>
      </w:pPr>
    </w:p>
    <w:p w14:paraId="30CDBF68" w14:textId="77777777" w:rsidR="000E1703" w:rsidRPr="000E1703" w:rsidRDefault="000E1703" w:rsidP="005944E1">
      <w:pPr>
        <w:ind w:right="-779"/>
        <w:jc w:val="both"/>
        <w:rPr>
          <w:rFonts w:ascii="Arial" w:hAnsi="Arial" w:cs="Arial"/>
          <w:b/>
          <w:bCs/>
        </w:rPr>
      </w:pPr>
    </w:p>
    <w:p w14:paraId="6034BBD7" w14:textId="77777777" w:rsidR="005944E1" w:rsidRDefault="005944E1" w:rsidP="000E1703">
      <w:pPr>
        <w:pBdr>
          <w:top w:val="single" w:sz="4" w:space="1" w:color="auto"/>
          <w:left w:val="single" w:sz="4" w:space="4" w:color="auto"/>
          <w:bottom w:val="single" w:sz="4" w:space="1" w:color="auto"/>
          <w:right w:val="single" w:sz="4" w:space="4" w:color="auto"/>
        </w:pBdr>
        <w:ind w:right="-779"/>
        <w:jc w:val="both"/>
        <w:rPr>
          <w:rFonts w:ascii="Arial" w:hAnsi="Arial" w:cs="Arial"/>
          <w:b/>
          <w:bCs/>
        </w:rPr>
      </w:pPr>
      <w:r w:rsidRPr="000E1703">
        <w:rPr>
          <w:rFonts w:ascii="Arial" w:hAnsi="Arial" w:cs="Arial"/>
          <w:b/>
          <w:bCs/>
        </w:rPr>
        <w:t xml:space="preserve">1-Renforcer la transparence des procédures de passation des Marchés Publics et Délégation des Services Publics. </w:t>
      </w:r>
    </w:p>
    <w:p w14:paraId="621716BF" w14:textId="77777777" w:rsidR="00F11784" w:rsidRPr="000E1703" w:rsidRDefault="00F11784" w:rsidP="000E1703">
      <w:pPr>
        <w:pBdr>
          <w:top w:val="single" w:sz="4" w:space="1" w:color="auto"/>
          <w:left w:val="single" w:sz="4" w:space="4" w:color="auto"/>
          <w:bottom w:val="single" w:sz="4" w:space="1" w:color="auto"/>
          <w:right w:val="single" w:sz="4" w:space="4" w:color="auto"/>
        </w:pBdr>
        <w:ind w:right="-779"/>
        <w:jc w:val="both"/>
        <w:rPr>
          <w:rFonts w:ascii="Arial" w:hAnsi="Arial" w:cs="Arial"/>
          <w:b/>
          <w:bCs/>
        </w:rPr>
      </w:pPr>
    </w:p>
    <w:p w14:paraId="2AD08FF4" w14:textId="77777777" w:rsidR="005944E1" w:rsidRPr="000E1703" w:rsidRDefault="005944E1" w:rsidP="005944E1">
      <w:pPr>
        <w:ind w:right="-779"/>
        <w:jc w:val="both"/>
        <w:rPr>
          <w:rFonts w:ascii="Arial" w:hAnsi="Arial" w:cs="Arial"/>
          <w:b/>
          <w:bCs/>
        </w:rPr>
      </w:pPr>
    </w:p>
    <w:p w14:paraId="1E2F5311" w14:textId="77777777" w:rsidR="005944E1" w:rsidRPr="000E1703" w:rsidRDefault="005944E1" w:rsidP="005944E1">
      <w:pPr>
        <w:ind w:right="-779"/>
        <w:jc w:val="both"/>
        <w:rPr>
          <w:rFonts w:ascii="Arial" w:hAnsi="Arial" w:cs="Arial"/>
          <w:b/>
          <w:bCs/>
        </w:rPr>
      </w:pPr>
      <w:r w:rsidRPr="000E1703">
        <w:rPr>
          <w:rFonts w:ascii="Arial" w:hAnsi="Arial" w:cs="Arial"/>
        </w:rPr>
        <w:t>L'</w:t>
      </w:r>
      <w:r w:rsidRPr="000E1703">
        <w:rPr>
          <w:rFonts w:ascii="Arial" w:hAnsi="Arial" w:cs="Arial"/>
          <w:b/>
          <w:bCs/>
        </w:rPr>
        <w:t xml:space="preserve">Article 60 (nouveau) </w:t>
      </w:r>
      <w:r w:rsidRPr="000E1703">
        <w:rPr>
          <w:rFonts w:ascii="Arial" w:hAnsi="Arial" w:cs="Arial"/>
        </w:rPr>
        <w:t>intitulé</w:t>
      </w:r>
      <w:r w:rsidRPr="000E1703">
        <w:rPr>
          <w:rFonts w:ascii="Arial" w:hAnsi="Arial" w:cs="Arial"/>
          <w:b/>
          <w:bCs/>
        </w:rPr>
        <w:t xml:space="preserve"> Mise à disposition du dossier d’appel d’offres (DAO) </w:t>
      </w:r>
    </w:p>
    <w:p w14:paraId="18927B56" w14:textId="77777777" w:rsidR="004941E4" w:rsidRPr="000E1703" w:rsidRDefault="005944E1" w:rsidP="005944E1">
      <w:pPr>
        <w:ind w:right="-779"/>
        <w:jc w:val="both"/>
        <w:rPr>
          <w:rFonts w:ascii="Arial" w:hAnsi="Arial" w:cs="Arial"/>
        </w:rPr>
      </w:pPr>
      <w:r w:rsidRPr="000E1703">
        <w:rPr>
          <w:rFonts w:ascii="Arial" w:hAnsi="Arial" w:cs="Arial"/>
        </w:rPr>
        <w:t>Apporte une mesure supplémentaire de transparence au niveau de l’obtention du dossier d’appel d’offres, et ceci après publication de son avis à travers le système national de gestion des appels d’offres publics en ligne « </w:t>
      </w:r>
      <w:r w:rsidRPr="000E1703">
        <w:rPr>
          <w:rFonts w:ascii="Arial" w:hAnsi="Arial" w:cs="Arial"/>
          <w:b/>
          <w:bCs/>
        </w:rPr>
        <w:t>COM</w:t>
      </w:r>
      <w:r w:rsidR="004941E4" w:rsidRPr="000E1703">
        <w:rPr>
          <w:rFonts w:ascii="Arial" w:hAnsi="Arial" w:cs="Arial"/>
          <w:b/>
          <w:bCs/>
        </w:rPr>
        <w:t>ORES MARCHES PUBLICS</w:t>
      </w:r>
      <w:r w:rsidRPr="000E1703">
        <w:rPr>
          <w:rFonts w:ascii="Arial" w:hAnsi="Arial" w:cs="Arial"/>
        </w:rPr>
        <w:t> » conformément aux dispositions des articles 69 (Nouveau)</w:t>
      </w:r>
      <w:r w:rsidR="004941E4" w:rsidRPr="000E1703">
        <w:rPr>
          <w:rFonts w:ascii="Arial" w:hAnsi="Arial" w:cs="Arial"/>
        </w:rPr>
        <w:t xml:space="preserve"> et suivants de la présente Loi.</w:t>
      </w:r>
    </w:p>
    <w:p w14:paraId="469242A5" w14:textId="77777777" w:rsidR="0088565F" w:rsidRDefault="0088565F" w:rsidP="005944E1">
      <w:pPr>
        <w:ind w:right="-779"/>
        <w:jc w:val="both"/>
        <w:rPr>
          <w:rFonts w:ascii="Arial" w:hAnsi="Arial" w:cs="Arial"/>
          <w:b/>
          <w:bCs/>
        </w:rPr>
      </w:pPr>
    </w:p>
    <w:p w14:paraId="74139AD1" w14:textId="77777777" w:rsidR="005944E1" w:rsidRPr="000E1703" w:rsidRDefault="005944E1" w:rsidP="005944E1">
      <w:pPr>
        <w:ind w:right="-779"/>
        <w:jc w:val="both"/>
        <w:rPr>
          <w:rFonts w:ascii="Arial" w:hAnsi="Arial" w:cs="Arial"/>
        </w:rPr>
      </w:pPr>
      <w:r w:rsidRPr="000E1703">
        <w:rPr>
          <w:rFonts w:ascii="Arial" w:hAnsi="Arial" w:cs="Arial"/>
          <w:b/>
          <w:bCs/>
        </w:rPr>
        <w:t>L’Article 62 (Nouveau)</w:t>
      </w:r>
      <w:r w:rsidRPr="000E1703">
        <w:rPr>
          <w:rFonts w:ascii="Arial" w:hAnsi="Arial" w:cs="Arial"/>
        </w:rPr>
        <w:t xml:space="preserve">   souligne  que  l’avis d’appel d’offres doit  comporter   des   mentions  obligatoires  nouvelles   visant  à  permettre  aux  futurs   soumissionnaires  d’évaluer  leurs  chances   de  participation  et   amener   les  autorités   contractantes  à  définir   avec  exactitude   les   conditions   de   participation   aux Marchés Publics Et Délégation des Services Publics   et  de  traduire  davantage  les   soucis  de  transparence  et  d’égalité  des   chances  d’accès  à  la   Commande Publique. </w:t>
      </w:r>
    </w:p>
    <w:p w14:paraId="2F272CD4" w14:textId="77777777" w:rsidR="005944E1" w:rsidRPr="000E1703" w:rsidRDefault="005944E1" w:rsidP="005944E1">
      <w:pPr>
        <w:ind w:right="-779"/>
        <w:jc w:val="both"/>
        <w:rPr>
          <w:rFonts w:ascii="Arial" w:hAnsi="Arial" w:cs="Arial"/>
        </w:rPr>
      </w:pPr>
    </w:p>
    <w:p w14:paraId="0CEF7FE2" w14:textId="77777777" w:rsidR="005944E1" w:rsidRPr="000E1703" w:rsidRDefault="005944E1" w:rsidP="005944E1">
      <w:pPr>
        <w:ind w:right="-779"/>
        <w:jc w:val="both"/>
        <w:rPr>
          <w:rFonts w:ascii="Arial" w:hAnsi="Arial" w:cs="Arial"/>
        </w:rPr>
      </w:pPr>
      <w:r w:rsidRPr="000E1703">
        <w:rPr>
          <w:rFonts w:ascii="Arial" w:hAnsi="Arial" w:cs="Arial"/>
        </w:rPr>
        <w:t>Compte tenu de l'attente très forte exprimée lors de la consultation des opérateurs   économiques  et la société civile au cours de  l’évaluation du système existant, le dispositif proposé par l'</w:t>
      </w:r>
      <w:r w:rsidRPr="000E1703">
        <w:rPr>
          <w:rFonts w:ascii="Arial" w:hAnsi="Arial" w:cs="Arial"/>
          <w:b/>
          <w:bCs/>
          <w:u w:val="single"/>
        </w:rPr>
        <w:t>Article 56 bis</w:t>
      </w:r>
      <w:r w:rsidRPr="000E1703">
        <w:rPr>
          <w:rFonts w:ascii="Arial" w:hAnsi="Arial" w:cs="Arial"/>
        </w:rPr>
        <w:t>, fait  obligation aux  autorités contractantes  d’afficher les résultats des procédures de passation des marchés de gré à gré ou par Entente  Directe dans un tableau d'affichage destiné au public et sur la plateforme future de gestion des appels d’offres  en ligne et éventuellement sur le site web propre de l’autorité contractante  et  ceci  en  vue  de  réduire  leur  nombre   croissant et  d’apporter  plus  de  transparence  à  leur  passation  et  à leur attribution.</w:t>
      </w:r>
    </w:p>
    <w:p w14:paraId="5B09C3C9" w14:textId="77777777" w:rsidR="005944E1" w:rsidRPr="000E1703" w:rsidRDefault="005944E1" w:rsidP="005944E1">
      <w:pPr>
        <w:ind w:right="-779"/>
        <w:jc w:val="both"/>
        <w:rPr>
          <w:rFonts w:ascii="Arial" w:hAnsi="Arial" w:cs="Arial"/>
          <w:color w:val="FF0000"/>
        </w:rPr>
      </w:pPr>
    </w:p>
    <w:p w14:paraId="20A8E930" w14:textId="77777777" w:rsidR="00F11784" w:rsidRPr="000E1703" w:rsidRDefault="005944E1" w:rsidP="005944E1">
      <w:pPr>
        <w:ind w:right="-779"/>
        <w:jc w:val="both"/>
        <w:rPr>
          <w:rFonts w:ascii="Arial" w:hAnsi="Arial" w:cs="Arial"/>
        </w:rPr>
      </w:pPr>
      <w:r w:rsidRPr="000E1703">
        <w:rPr>
          <w:rFonts w:ascii="Arial" w:hAnsi="Arial" w:cs="Arial"/>
        </w:rPr>
        <w:t>Etant signalé que cette obligation ne concerne pas les marchés qui présentent un caractère secret ou ceux relatifs à la protection des intérêts fondamentaux de la sécurité nationale du pays.</w:t>
      </w:r>
    </w:p>
    <w:p w14:paraId="0B0690E3" w14:textId="77777777" w:rsidR="005944E1" w:rsidRPr="000E1703" w:rsidRDefault="005944E1" w:rsidP="005944E1">
      <w:pPr>
        <w:ind w:right="-779"/>
        <w:jc w:val="both"/>
        <w:rPr>
          <w:rFonts w:ascii="Arial" w:hAnsi="Arial" w:cs="Arial"/>
          <w:b/>
          <w:bCs/>
        </w:rPr>
      </w:pPr>
    </w:p>
    <w:p w14:paraId="15F0FBA8" w14:textId="77777777" w:rsidR="005944E1" w:rsidRDefault="005944E1" w:rsidP="000E1703">
      <w:pPr>
        <w:pBdr>
          <w:top w:val="single" w:sz="4" w:space="1" w:color="auto"/>
          <w:left w:val="single" w:sz="4" w:space="4" w:color="auto"/>
          <w:bottom w:val="single" w:sz="4" w:space="1" w:color="auto"/>
          <w:right w:val="single" w:sz="4" w:space="4" w:color="auto"/>
        </w:pBdr>
        <w:ind w:right="-779"/>
        <w:jc w:val="both"/>
        <w:rPr>
          <w:rFonts w:ascii="Arial" w:hAnsi="Arial" w:cs="Arial"/>
          <w:b/>
          <w:bCs/>
        </w:rPr>
      </w:pPr>
      <w:r w:rsidRPr="000E1703">
        <w:rPr>
          <w:rFonts w:ascii="Arial" w:hAnsi="Arial" w:cs="Arial"/>
          <w:b/>
          <w:bCs/>
          <w:lang w:val="fr-CA"/>
        </w:rPr>
        <w:t xml:space="preserve">2-Réformer les textes existants pour imposer l’utilisation d’une solution informatique   de gestion des appels d’offres   publics   en ligne </w:t>
      </w:r>
      <w:r w:rsidRPr="000E1703">
        <w:rPr>
          <w:rFonts w:ascii="Arial" w:hAnsi="Arial" w:cs="Arial"/>
          <w:b/>
          <w:bCs/>
        </w:rPr>
        <w:t>pour la   passation des Marchés Publics Et Délégation des Services Publics.</w:t>
      </w:r>
    </w:p>
    <w:p w14:paraId="58F30F6E" w14:textId="77777777" w:rsidR="00F11784" w:rsidRPr="000E1703" w:rsidRDefault="00F11784" w:rsidP="000E1703">
      <w:pPr>
        <w:pBdr>
          <w:top w:val="single" w:sz="4" w:space="1" w:color="auto"/>
          <w:left w:val="single" w:sz="4" w:space="4" w:color="auto"/>
          <w:bottom w:val="single" w:sz="4" w:space="1" w:color="auto"/>
          <w:right w:val="single" w:sz="4" w:space="4" w:color="auto"/>
        </w:pBdr>
        <w:ind w:right="-779"/>
        <w:jc w:val="both"/>
        <w:rPr>
          <w:rFonts w:ascii="Arial" w:hAnsi="Arial" w:cs="Arial"/>
          <w:b/>
          <w:bCs/>
        </w:rPr>
      </w:pPr>
    </w:p>
    <w:p w14:paraId="7FA3E006" w14:textId="77777777" w:rsidR="005944E1" w:rsidRPr="000E1703" w:rsidRDefault="005944E1" w:rsidP="005944E1">
      <w:pPr>
        <w:ind w:right="-779"/>
        <w:jc w:val="both"/>
        <w:rPr>
          <w:rFonts w:ascii="Arial" w:hAnsi="Arial" w:cs="Arial"/>
          <w:b/>
          <w:bCs/>
        </w:rPr>
      </w:pPr>
    </w:p>
    <w:p w14:paraId="4CD64A0E" w14:textId="77777777" w:rsidR="005944E1" w:rsidRPr="000E1703" w:rsidRDefault="005944E1" w:rsidP="005944E1">
      <w:pPr>
        <w:ind w:right="-779"/>
        <w:jc w:val="both"/>
        <w:rPr>
          <w:rFonts w:ascii="Arial" w:hAnsi="Arial" w:cs="Arial"/>
        </w:rPr>
      </w:pPr>
      <w:r w:rsidRPr="000E1703">
        <w:rPr>
          <w:rFonts w:ascii="Arial" w:hAnsi="Arial" w:cs="Arial"/>
        </w:rPr>
        <w:t xml:space="preserve">L’ancien   intitulé    du  CHAPITRE V  de  la   Loi n° 2011-027 du 29 décembre 2011, portant Passation des Marchés Publics et Délégation des Services Publics  </w:t>
      </w:r>
      <w:r w:rsidRPr="000E1703">
        <w:rPr>
          <w:rFonts w:ascii="Arial" w:hAnsi="Arial" w:cs="Arial"/>
          <w:b/>
          <w:bCs/>
        </w:rPr>
        <w:t>intitulé  DE LA DEMATERIALISATION DES PROCEDURES</w:t>
      </w:r>
      <w:r w:rsidRPr="000E1703">
        <w:rPr>
          <w:rFonts w:ascii="Arial" w:hAnsi="Arial" w:cs="Arial"/>
        </w:rPr>
        <w:t xml:space="preserve"> ,a  cédé  place  à  la  nouvelle   appellation proposée </w:t>
      </w:r>
      <w:r w:rsidRPr="000E1703">
        <w:rPr>
          <w:rFonts w:ascii="Arial" w:hAnsi="Arial" w:cs="Arial"/>
          <w:b/>
          <w:bCs/>
        </w:rPr>
        <w:t>CHAPITRE V</w:t>
      </w:r>
      <w:r w:rsidRPr="000E1703">
        <w:rPr>
          <w:rFonts w:ascii="Arial" w:hAnsi="Arial" w:cs="Arial"/>
        </w:rPr>
        <w:t xml:space="preserve"> : </w:t>
      </w:r>
      <w:r w:rsidRPr="000E1703">
        <w:rPr>
          <w:rFonts w:ascii="Arial" w:hAnsi="Arial" w:cs="Arial"/>
          <w:b/>
          <w:bCs/>
        </w:rPr>
        <w:t xml:space="preserve">DE LA DEMATERIALISATION DES PROCEDURES  ET  DISPOSITIONS  SPECIFIQUES  AUX  APPELS  D’OFFRES  EN LIGNE    </w:t>
      </w:r>
      <w:r w:rsidRPr="000E1703">
        <w:rPr>
          <w:rFonts w:ascii="Arial" w:hAnsi="Arial" w:cs="Arial"/>
        </w:rPr>
        <w:t>et  ceci   afin  de  souligner  de   l’introduction   de  la   solution  informatique  au  niveau  des  procédures  de  Passation des  Marchés Publics  et Délégation des Services Publics.</w:t>
      </w:r>
    </w:p>
    <w:p w14:paraId="53E3C8EF" w14:textId="77777777" w:rsidR="005944E1" w:rsidRPr="000E1703" w:rsidRDefault="005944E1" w:rsidP="005944E1">
      <w:pPr>
        <w:ind w:right="-779"/>
        <w:jc w:val="both"/>
        <w:rPr>
          <w:rFonts w:ascii="Arial" w:hAnsi="Arial" w:cs="Arial"/>
        </w:rPr>
      </w:pPr>
    </w:p>
    <w:p w14:paraId="64A06E76" w14:textId="77777777" w:rsidR="005944E1" w:rsidRPr="000E1703" w:rsidRDefault="005944E1" w:rsidP="005944E1">
      <w:pPr>
        <w:ind w:right="-779"/>
        <w:jc w:val="both"/>
        <w:rPr>
          <w:rFonts w:ascii="Arial" w:hAnsi="Arial" w:cs="Arial"/>
        </w:rPr>
      </w:pPr>
      <w:r w:rsidRPr="000E1703">
        <w:rPr>
          <w:rFonts w:ascii="Arial" w:hAnsi="Arial" w:cs="Arial"/>
        </w:rPr>
        <w:t xml:space="preserve">Ce chapitre   comporte désormais cinq articles comme suit : </w:t>
      </w:r>
    </w:p>
    <w:p w14:paraId="79BA8572" w14:textId="77777777" w:rsidR="00970017" w:rsidRDefault="00970017" w:rsidP="005944E1">
      <w:pPr>
        <w:ind w:right="-779"/>
        <w:jc w:val="both"/>
        <w:rPr>
          <w:rFonts w:ascii="Arial" w:hAnsi="Arial" w:cs="Arial"/>
          <w:b/>
          <w:bCs/>
        </w:rPr>
      </w:pPr>
    </w:p>
    <w:p w14:paraId="039E6BCA" w14:textId="77777777" w:rsidR="00970017" w:rsidRDefault="00970017" w:rsidP="005944E1">
      <w:pPr>
        <w:ind w:right="-779"/>
        <w:jc w:val="both"/>
        <w:rPr>
          <w:rFonts w:ascii="Arial" w:hAnsi="Arial" w:cs="Arial"/>
          <w:b/>
          <w:bCs/>
        </w:rPr>
      </w:pPr>
    </w:p>
    <w:p w14:paraId="6F99E425" w14:textId="77777777" w:rsidR="00970017" w:rsidRDefault="00970017" w:rsidP="005944E1">
      <w:pPr>
        <w:ind w:right="-779"/>
        <w:jc w:val="both"/>
        <w:rPr>
          <w:rFonts w:ascii="Arial" w:hAnsi="Arial" w:cs="Arial"/>
          <w:b/>
          <w:bCs/>
        </w:rPr>
      </w:pPr>
    </w:p>
    <w:p w14:paraId="7DD24F61" w14:textId="77777777" w:rsidR="00970017" w:rsidRDefault="00970017" w:rsidP="005944E1">
      <w:pPr>
        <w:ind w:right="-779"/>
        <w:jc w:val="both"/>
        <w:rPr>
          <w:rFonts w:ascii="Arial" w:hAnsi="Arial" w:cs="Arial"/>
          <w:b/>
          <w:bCs/>
        </w:rPr>
      </w:pPr>
    </w:p>
    <w:p w14:paraId="083C4AD5" w14:textId="77777777" w:rsidR="00970017" w:rsidRDefault="00970017" w:rsidP="005944E1">
      <w:pPr>
        <w:ind w:right="-779"/>
        <w:jc w:val="both"/>
        <w:rPr>
          <w:rFonts w:ascii="Arial" w:hAnsi="Arial" w:cs="Arial"/>
          <w:b/>
          <w:bCs/>
        </w:rPr>
      </w:pPr>
    </w:p>
    <w:p w14:paraId="0C0F73F8" w14:textId="77777777" w:rsidR="005944E1" w:rsidRPr="000E1703" w:rsidRDefault="005944E1" w:rsidP="005944E1">
      <w:pPr>
        <w:ind w:right="-779"/>
        <w:jc w:val="both"/>
        <w:rPr>
          <w:rFonts w:ascii="Arial" w:hAnsi="Arial" w:cs="Arial"/>
          <w:b/>
          <w:bCs/>
        </w:rPr>
      </w:pPr>
      <w:r w:rsidRPr="000E1703">
        <w:rPr>
          <w:rFonts w:ascii="Arial" w:hAnsi="Arial" w:cs="Arial"/>
          <w:b/>
          <w:bCs/>
        </w:rPr>
        <w:t xml:space="preserve">Article 69 (Nouveau) : Application de la dématérialisation. </w:t>
      </w:r>
    </w:p>
    <w:p w14:paraId="47E0B979" w14:textId="77777777" w:rsidR="005944E1" w:rsidRPr="000E1703" w:rsidRDefault="005944E1" w:rsidP="005944E1">
      <w:pPr>
        <w:ind w:right="-779"/>
        <w:jc w:val="both"/>
        <w:rPr>
          <w:rFonts w:ascii="Arial" w:hAnsi="Arial" w:cs="Arial"/>
        </w:rPr>
      </w:pPr>
      <w:r w:rsidRPr="000E1703">
        <w:rPr>
          <w:rFonts w:ascii="Arial" w:hAnsi="Arial" w:cs="Arial"/>
        </w:rPr>
        <w:t xml:space="preserve">La dématérialisation est définie comme étant la création, l’échange, l’envoi, la réception ou la conservation d’informations ou de documents par des moyens électroniques ou optiques, ou des moyens comparables, notamment, mais non exclusivement, l’échange de données informatisées ou la messagerie électronique. </w:t>
      </w:r>
    </w:p>
    <w:p w14:paraId="133842A2" w14:textId="77777777" w:rsidR="005944E1" w:rsidRPr="000E1703" w:rsidRDefault="005944E1" w:rsidP="005944E1">
      <w:pPr>
        <w:ind w:right="-779"/>
        <w:jc w:val="both"/>
        <w:rPr>
          <w:rFonts w:ascii="Arial" w:hAnsi="Arial" w:cs="Arial"/>
        </w:rPr>
      </w:pPr>
      <w:r w:rsidRPr="000E1703">
        <w:rPr>
          <w:rFonts w:ascii="Arial" w:hAnsi="Arial" w:cs="Arial"/>
        </w:rPr>
        <w:t xml:space="preserve">Les procédures de passation des marchés peuvent faire l'objet d'une dématérialisation par l'utilisation des technologies de l’information et de la communication (TIC) utilisés pour la création, l’enregistrement, le traitement et la transmission des informations. Dans les conditions définies aux articles </w:t>
      </w:r>
      <w:r w:rsidRPr="000E1703">
        <w:rPr>
          <w:rFonts w:ascii="Arial" w:hAnsi="Arial" w:cs="Arial"/>
          <w:b/>
          <w:bCs/>
        </w:rPr>
        <w:t>70 (Nouveau)</w:t>
      </w:r>
      <w:r w:rsidRPr="000E1703">
        <w:rPr>
          <w:rFonts w:ascii="Arial" w:hAnsi="Arial" w:cs="Arial"/>
        </w:rPr>
        <w:t xml:space="preserve"> et </w:t>
      </w:r>
      <w:r w:rsidRPr="000E1703">
        <w:rPr>
          <w:rFonts w:ascii="Arial" w:hAnsi="Arial" w:cs="Arial"/>
          <w:b/>
          <w:bCs/>
        </w:rPr>
        <w:t>71 (Nouveau)</w:t>
      </w:r>
      <w:r w:rsidRPr="000E1703">
        <w:rPr>
          <w:rFonts w:ascii="Arial" w:hAnsi="Arial" w:cs="Arial"/>
        </w:rPr>
        <w:t xml:space="preserve">, </w:t>
      </w:r>
      <w:r w:rsidRPr="000E1703">
        <w:rPr>
          <w:rFonts w:ascii="Arial" w:hAnsi="Arial" w:cs="Arial"/>
          <w:b/>
          <w:bCs/>
        </w:rPr>
        <w:t>71 (Bis)</w:t>
      </w:r>
      <w:r w:rsidRPr="000E1703">
        <w:rPr>
          <w:rFonts w:ascii="Arial" w:hAnsi="Arial" w:cs="Arial"/>
        </w:rPr>
        <w:t xml:space="preserve"> et </w:t>
      </w:r>
      <w:r w:rsidRPr="000E1703">
        <w:rPr>
          <w:rFonts w:ascii="Arial" w:hAnsi="Arial" w:cs="Arial"/>
          <w:b/>
          <w:bCs/>
        </w:rPr>
        <w:t>71 (Ter)</w:t>
      </w:r>
      <w:r w:rsidRPr="000E1703">
        <w:rPr>
          <w:rFonts w:ascii="Arial" w:hAnsi="Arial" w:cs="Arial"/>
        </w:rPr>
        <w:t xml:space="preserve"> de la présente loi. </w:t>
      </w:r>
    </w:p>
    <w:p w14:paraId="7060F500" w14:textId="77777777" w:rsidR="005944E1" w:rsidRPr="000E1703" w:rsidRDefault="005944E1" w:rsidP="005944E1">
      <w:pPr>
        <w:ind w:right="-779"/>
        <w:jc w:val="both"/>
        <w:rPr>
          <w:rFonts w:ascii="Arial" w:hAnsi="Arial" w:cs="Arial"/>
        </w:rPr>
      </w:pPr>
    </w:p>
    <w:p w14:paraId="52A3EB06" w14:textId="77777777" w:rsidR="005944E1" w:rsidRPr="000E1703" w:rsidRDefault="005944E1" w:rsidP="005944E1">
      <w:pPr>
        <w:ind w:right="-779"/>
        <w:jc w:val="both"/>
        <w:rPr>
          <w:rFonts w:ascii="Arial" w:hAnsi="Arial" w:cs="Arial"/>
        </w:rPr>
      </w:pPr>
      <w:r w:rsidRPr="000E1703">
        <w:rPr>
          <w:rFonts w:ascii="Arial" w:hAnsi="Arial" w:cs="Arial"/>
        </w:rPr>
        <w:t>Le recours à la procédure de dématérialisation doit obéir entre autres à l'utilisation d'un système d'échange d'informations adéquat assurant l'intégrité, la confidentialité et l'authenticité des informations par le biais d’un système de signature électronique.</w:t>
      </w:r>
    </w:p>
    <w:p w14:paraId="757C1FEA" w14:textId="77777777" w:rsidR="005944E1" w:rsidRPr="000E1703" w:rsidRDefault="005944E1" w:rsidP="005944E1">
      <w:pPr>
        <w:ind w:right="-779"/>
        <w:jc w:val="both"/>
        <w:rPr>
          <w:rFonts w:ascii="Arial" w:hAnsi="Arial" w:cs="Arial"/>
        </w:rPr>
      </w:pPr>
    </w:p>
    <w:p w14:paraId="35E152F0" w14:textId="77777777" w:rsidR="005944E1" w:rsidRPr="001D65DB" w:rsidRDefault="005944E1" w:rsidP="005944E1">
      <w:pPr>
        <w:numPr>
          <w:ilvl w:val="0"/>
          <w:numId w:val="3"/>
        </w:numPr>
        <w:ind w:left="426" w:right="-779" w:hanging="426"/>
        <w:jc w:val="both"/>
        <w:rPr>
          <w:rFonts w:ascii="Arial" w:hAnsi="Arial" w:cs="Arial"/>
        </w:rPr>
      </w:pPr>
      <w:r w:rsidRPr="001D65DB">
        <w:rPr>
          <w:rFonts w:ascii="Arial" w:hAnsi="Arial" w:cs="Arial"/>
        </w:rPr>
        <w:t>L’Article 70 (nouveau) intitulé</w:t>
      </w:r>
      <w:r w:rsidRPr="001D65DB">
        <w:rPr>
          <w:rFonts w:ascii="Arial" w:hAnsi="Arial" w:cs="Arial"/>
          <w:b/>
          <w:bCs/>
        </w:rPr>
        <w:t xml:space="preserve"> : Modalités de la dématérialisation</w:t>
      </w:r>
      <w:r w:rsidRPr="001D65DB">
        <w:rPr>
          <w:rFonts w:ascii="Arial" w:hAnsi="Arial" w:cs="Arial"/>
        </w:rPr>
        <w:t xml:space="preserve"> institue d’une manière </w:t>
      </w:r>
      <w:r w:rsidRPr="001D65DB">
        <w:rPr>
          <w:rFonts w:ascii="Arial" w:hAnsi="Arial" w:cs="Arial"/>
          <w:b/>
          <w:bCs/>
        </w:rPr>
        <w:t>Légale</w:t>
      </w:r>
      <w:r w:rsidRPr="001D65DB">
        <w:rPr>
          <w:rFonts w:ascii="Arial" w:hAnsi="Arial" w:cs="Arial"/>
        </w:rPr>
        <w:t xml:space="preserve"> le système de gestion des appels d’offres en ligne</w:t>
      </w:r>
      <w:r w:rsidR="001D65DB" w:rsidRPr="001D65DB">
        <w:rPr>
          <w:rFonts w:ascii="Arial" w:hAnsi="Arial" w:cs="Arial"/>
        </w:rPr>
        <w:t xml:space="preserve"> «</w:t>
      </w:r>
      <w:r w:rsidR="001D65DB" w:rsidRPr="001D65DB">
        <w:rPr>
          <w:rFonts w:ascii="Arial" w:hAnsi="Arial" w:cs="Arial"/>
          <w:b/>
          <w:bCs/>
          <w:u w:val="single"/>
        </w:rPr>
        <w:t xml:space="preserve"> COMORES</w:t>
      </w:r>
      <w:r w:rsidR="00514EF4" w:rsidRPr="001D65DB">
        <w:rPr>
          <w:rFonts w:ascii="Arial" w:hAnsi="Arial" w:cs="Arial"/>
          <w:b/>
          <w:bCs/>
          <w:u w:val="single"/>
        </w:rPr>
        <w:t xml:space="preserve"> MARCHES </w:t>
      </w:r>
      <w:r w:rsidR="001D65DB" w:rsidRPr="001D65DB">
        <w:rPr>
          <w:rFonts w:ascii="Arial" w:hAnsi="Arial" w:cs="Arial"/>
          <w:b/>
          <w:bCs/>
          <w:u w:val="single"/>
        </w:rPr>
        <w:t>PUBLICS »</w:t>
      </w:r>
      <w:r w:rsidRPr="001D65DB">
        <w:rPr>
          <w:rFonts w:ascii="Arial" w:hAnsi="Arial" w:cs="Arial"/>
        </w:rPr>
        <w:t>. Il confie à l’ARMP l’animation et l'alimentation du système cité et d’en assurer sa surveillance.</w:t>
      </w:r>
    </w:p>
    <w:p w14:paraId="20378FA4" w14:textId="77777777" w:rsidR="005944E1" w:rsidRPr="001D65DB" w:rsidRDefault="005944E1" w:rsidP="005944E1">
      <w:pPr>
        <w:ind w:right="-779"/>
        <w:jc w:val="both"/>
        <w:rPr>
          <w:rFonts w:ascii="Arial" w:hAnsi="Arial" w:cs="Arial"/>
        </w:rPr>
      </w:pPr>
    </w:p>
    <w:p w14:paraId="0E8E40E0" w14:textId="5D8C3DD1" w:rsidR="005944E1" w:rsidRPr="001D65DB" w:rsidRDefault="005944E1" w:rsidP="005944E1">
      <w:pPr>
        <w:ind w:left="426" w:right="-779"/>
        <w:jc w:val="both"/>
        <w:rPr>
          <w:rFonts w:ascii="Arial" w:hAnsi="Arial" w:cs="Arial"/>
        </w:rPr>
      </w:pPr>
      <w:r w:rsidRPr="001D65DB">
        <w:rPr>
          <w:rFonts w:ascii="Arial" w:hAnsi="Arial" w:cs="Arial"/>
        </w:rPr>
        <w:t>De même il attribue la gestion technique de la plateforme</w:t>
      </w:r>
      <w:r w:rsidR="001D65DB" w:rsidRPr="001D65DB">
        <w:rPr>
          <w:rFonts w:ascii="Arial" w:hAnsi="Arial" w:cs="Arial"/>
        </w:rPr>
        <w:t xml:space="preserve"> «</w:t>
      </w:r>
      <w:r w:rsidR="001D65DB" w:rsidRPr="001D65DB">
        <w:rPr>
          <w:rFonts w:ascii="Arial" w:hAnsi="Arial" w:cs="Arial"/>
          <w:b/>
          <w:bCs/>
          <w:u w:val="single"/>
        </w:rPr>
        <w:t xml:space="preserve"> COMORES</w:t>
      </w:r>
      <w:r w:rsidR="00514EF4" w:rsidRPr="001D65DB">
        <w:rPr>
          <w:rFonts w:ascii="Arial" w:hAnsi="Arial" w:cs="Arial"/>
          <w:b/>
          <w:bCs/>
          <w:u w:val="single"/>
        </w:rPr>
        <w:t xml:space="preserve"> MARCHES </w:t>
      </w:r>
      <w:r w:rsidR="00A25042" w:rsidRPr="001D65DB">
        <w:rPr>
          <w:rFonts w:ascii="Arial" w:hAnsi="Arial" w:cs="Arial"/>
          <w:b/>
          <w:bCs/>
          <w:u w:val="single"/>
        </w:rPr>
        <w:t>PUBLICS »</w:t>
      </w:r>
      <w:r w:rsidRPr="001D65DB">
        <w:rPr>
          <w:rFonts w:ascii="Arial" w:hAnsi="Arial" w:cs="Arial"/>
          <w:b/>
          <w:bCs/>
          <w:u w:val="single"/>
        </w:rPr>
        <w:t xml:space="preserve"> à</w:t>
      </w:r>
      <w:r w:rsidRPr="001D65DB">
        <w:rPr>
          <w:rFonts w:ascii="Arial" w:hAnsi="Arial" w:cs="Arial"/>
        </w:rPr>
        <w:t xml:space="preserve"> l’ANADEN. </w:t>
      </w:r>
    </w:p>
    <w:p w14:paraId="025B90FE" w14:textId="77777777" w:rsidR="005944E1" w:rsidRPr="000E1703" w:rsidRDefault="005944E1" w:rsidP="005944E1">
      <w:pPr>
        <w:ind w:left="426" w:right="-779"/>
        <w:jc w:val="both"/>
        <w:rPr>
          <w:rFonts w:ascii="Arial" w:hAnsi="Arial" w:cs="Arial"/>
        </w:rPr>
      </w:pPr>
      <w:r w:rsidRPr="001D65DB">
        <w:rPr>
          <w:rFonts w:ascii="Arial" w:hAnsi="Arial" w:cs="Arial"/>
        </w:rPr>
        <w:t>Par ailleurs ledit article renvoi la mise en œuvre du système à des modalités qui seront fixées par un décret et ceci eu égard aux conditions de la mise en œuvre pratique et chronologique, qui ne peuvent en aucun cas être fixées par une loi.</w:t>
      </w:r>
    </w:p>
    <w:p w14:paraId="0DD61BEB" w14:textId="77777777" w:rsidR="005944E1" w:rsidRPr="000E1703" w:rsidRDefault="005944E1" w:rsidP="005944E1">
      <w:pPr>
        <w:ind w:right="-779"/>
        <w:jc w:val="both"/>
        <w:rPr>
          <w:rFonts w:ascii="Arial" w:hAnsi="Arial" w:cs="Arial"/>
          <w:b/>
          <w:bCs/>
        </w:rPr>
      </w:pPr>
    </w:p>
    <w:p w14:paraId="69F9D053" w14:textId="77777777" w:rsidR="005944E1" w:rsidRPr="000E1703" w:rsidRDefault="005944E1" w:rsidP="005944E1">
      <w:pPr>
        <w:numPr>
          <w:ilvl w:val="0"/>
          <w:numId w:val="3"/>
        </w:numPr>
        <w:ind w:left="426" w:right="-779" w:hanging="426"/>
        <w:jc w:val="both"/>
        <w:rPr>
          <w:rFonts w:ascii="Arial" w:hAnsi="Arial" w:cs="Arial"/>
        </w:rPr>
      </w:pPr>
      <w:r w:rsidRPr="000E1703">
        <w:rPr>
          <w:rFonts w:ascii="Arial" w:hAnsi="Arial" w:cs="Arial"/>
          <w:b/>
          <w:bCs/>
        </w:rPr>
        <w:t>L’Article. 71 (Nouveau)</w:t>
      </w:r>
      <w:r w:rsidRPr="000E1703">
        <w:rPr>
          <w:rFonts w:ascii="Arial" w:hAnsi="Arial" w:cs="Arial"/>
        </w:rPr>
        <w:t xml:space="preserve">. Intitulé </w:t>
      </w:r>
      <w:r w:rsidRPr="000E1703">
        <w:rPr>
          <w:rFonts w:ascii="Arial" w:hAnsi="Arial" w:cs="Arial"/>
          <w:b/>
          <w:bCs/>
        </w:rPr>
        <w:t xml:space="preserve">Garanties </w:t>
      </w:r>
      <w:r w:rsidRPr="000E1703">
        <w:rPr>
          <w:rFonts w:ascii="Arial" w:hAnsi="Arial" w:cs="Arial"/>
        </w:rPr>
        <w:t>insiste sur la force probatoire des transactions passées, c’est-à-dire d'apporter la preuve de l'existence juridique et la validité de ces mêmes transactions sur le système de gestion des appels d’offres en ligne ainsi que l’enregistrement de toutes les opérations effectuées par les utilisateurs inscrits (autorités contractantes et soumissionnaires).</w:t>
      </w:r>
    </w:p>
    <w:p w14:paraId="2FB9FBB6" w14:textId="77777777" w:rsidR="005944E1" w:rsidRPr="000E1703" w:rsidRDefault="005944E1" w:rsidP="005944E1">
      <w:pPr>
        <w:ind w:right="-779"/>
        <w:jc w:val="both"/>
        <w:rPr>
          <w:rFonts w:ascii="Arial" w:hAnsi="Arial" w:cs="Arial"/>
        </w:rPr>
      </w:pPr>
    </w:p>
    <w:p w14:paraId="0CFA3CC1" w14:textId="77777777" w:rsidR="005944E1" w:rsidRPr="000E1703" w:rsidRDefault="005944E1" w:rsidP="005944E1">
      <w:pPr>
        <w:ind w:left="426" w:right="-779"/>
        <w:jc w:val="both"/>
        <w:rPr>
          <w:rFonts w:ascii="Arial" w:hAnsi="Arial" w:cs="Arial"/>
        </w:rPr>
      </w:pPr>
      <w:r w:rsidRPr="000E1703">
        <w:rPr>
          <w:rFonts w:ascii="Arial" w:hAnsi="Arial" w:cs="Arial"/>
        </w:rPr>
        <w:t>Cet article</w:t>
      </w:r>
      <w:r w:rsidRPr="000E1703">
        <w:rPr>
          <w:rFonts w:ascii="Arial" w:hAnsi="Arial" w:cs="Arial"/>
          <w:b/>
          <w:bCs/>
        </w:rPr>
        <w:t xml:space="preserve"> vise à </w:t>
      </w:r>
      <w:r w:rsidRPr="000E1703">
        <w:rPr>
          <w:rFonts w:ascii="Arial" w:hAnsi="Arial" w:cs="Arial"/>
        </w:rPr>
        <w:t>rassurer les utilisateurs   sur le caractère de   la confidentialité et la sécurité des transactions et à garantir la transparence et l’égalité des chances offertes aux   soumissionnaires.</w:t>
      </w:r>
    </w:p>
    <w:p w14:paraId="76F95E19" w14:textId="77777777" w:rsidR="005944E1" w:rsidRPr="000E1703" w:rsidRDefault="005944E1" w:rsidP="005944E1">
      <w:pPr>
        <w:ind w:left="426" w:right="-779"/>
        <w:jc w:val="both"/>
        <w:rPr>
          <w:rFonts w:ascii="Arial" w:hAnsi="Arial" w:cs="Arial"/>
        </w:rPr>
      </w:pPr>
    </w:p>
    <w:p w14:paraId="579BE8CE" w14:textId="77777777" w:rsidR="005944E1" w:rsidRPr="000E1703" w:rsidRDefault="005944E1" w:rsidP="005944E1">
      <w:pPr>
        <w:numPr>
          <w:ilvl w:val="0"/>
          <w:numId w:val="3"/>
        </w:numPr>
        <w:ind w:left="426" w:right="-779" w:hanging="426"/>
        <w:jc w:val="both"/>
        <w:rPr>
          <w:rFonts w:ascii="Arial" w:hAnsi="Arial" w:cs="Arial"/>
        </w:rPr>
      </w:pPr>
      <w:r w:rsidRPr="000E1703">
        <w:rPr>
          <w:rFonts w:ascii="Arial" w:hAnsi="Arial" w:cs="Arial"/>
        </w:rPr>
        <w:t>L’</w:t>
      </w:r>
      <w:r w:rsidRPr="000E1703">
        <w:rPr>
          <w:rFonts w:ascii="Arial" w:hAnsi="Arial" w:cs="Arial"/>
          <w:b/>
          <w:bCs/>
        </w:rPr>
        <w:t>Article 71 (Bis) qui</w:t>
      </w:r>
      <w:r w:rsidRPr="000E1703">
        <w:rPr>
          <w:rFonts w:ascii="Arial" w:hAnsi="Arial" w:cs="Arial"/>
        </w:rPr>
        <w:t xml:space="preserve"> a été ajouté et intitulé</w:t>
      </w:r>
      <w:r w:rsidRPr="000E1703">
        <w:rPr>
          <w:rFonts w:ascii="Arial" w:hAnsi="Arial" w:cs="Arial"/>
          <w:b/>
          <w:bCs/>
        </w:rPr>
        <w:t xml:space="preserve"> Inscription au système,</w:t>
      </w:r>
      <w:r w:rsidRPr="000E1703">
        <w:rPr>
          <w:rFonts w:ascii="Arial" w:hAnsi="Arial" w:cs="Arial"/>
        </w:rPr>
        <w:t xml:space="preserve"> présente la nécessité d’une inscription au préalable au système selon la procédure qui sera définie dans le futur manuel utilisateur qui sera établi par le titulaire du marché de mise en place de la future plateforme. </w:t>
      </w:r>
    </w:p>
    <w:p w14:paraId="133F0D44" w14:textId="77777777" w:rsidR="005944E1" w:rsidRPr="000E1703" w:rsidRDefault="005944E1" w:rsidP="005944E1">
      <w:pPr>
        <w:ind w:right="-779"/>
        <w:jc w:val="both"/>
        <w:rPr>
          <w:rFonts w:ascii="Arial" w:hAnsi="Arial" w:cs="Arial"/>
        </w:rPr>
      </w:pPr>
    </w:p>
    <w:p w14:paraId="74ECA8CA" w14:textId="77777777" w:rsidR="005944E1" w:rsidRPr="000E1703" w:rsidRDefault="005944E1" w:rsidP="005944E1">
      <w:pPr>
        <w:ind w:left="426" w:right="-779"/>
        <w:jc w:val="both"/>
        <w:rPr>
          <w:rFonts w:ascii="Arial" w:hAnsi="Arial" w:cs="Arial"/>
        </w:rPr>
      </w:pPr>
      <w:r w:rsidRPr="000E1703">
        <w:rPr>
          <w:rFonts w:ascii="Arial" w:hAnsi="Arial" w:cs="Arial"/>
        </w:rPr>
        <w:t xml:space="preserve">Il souligne aussi que l’inscription confère à chaque utilisateur un identifiant lui permettant d’utiliser le système de gestion des appels d’offres en ligne. </w:t>
      </w:r>
    </w:p>
    <w:p w14:paraId="36144B57" w14:textId="77777777" w:rsidR="005944E1" w:rsidRPr="000E1703" w:rsidRDefault="005944E1" w:rsidP="005944E1">
      <w:pPr>
        <w:ind w:left="426" w:right="-779"/>
        <w:jc w:val="both"/>
        <w:rPr>
          <w:rFonts w:ascii="Arial" w:hAnsi="Arial" w:cs="Arial"/>
        </w:rPr>
      </w:pPr>
    </w:p>
    <w:p w14:paraId="439B091E" w14:textId="77777777" w:rsidR="005944E1" w:rsidRPr="000E1703" w:rsidRDefault="005944E1" w:rsidP="005944E1">
      <w:pPr>
        <w:numPr>
          <w:ilvl w:val="0"/>
          <w:numId w:val="3"/>
        </w:numPr>
        <w:ind w:left="426" w:right="-779" w:hanging="426"/>
        <w:jc w:val="both"/>
        <w:rPr>
          <w:rFonts w:ascii="Arial" w:hAnsi="Arial" w:cs="Arial"/>
        </w:rPr>
      </w:pPr>
      <w:r w:rsidRPr="000E1703">
        <w:rPr>
          <w:rFonts w:ascii="Arial" w:hAnsi="Arial" w:cs="Arial"/>
        </w:rPr>
        <w:t>Enfin</w:t>
      </w:r>
      <w:r w:rsidRPr="000E1703">
        <w:rPr>
          <w:rFonts w:ascii="Arial" w:hAnsi="Arial" w:cs="Arial"/>
          <w:b/>
          <w:bCs/>
        </w:rPr>
        <w:t xml:space="preserve"> l’Article. 71 (Ter)</w:t>
      </w:r>
      <w:r w:rsidRPr="000E1703">
        <w:rPr>
          <w:rFonts w:ascii="Arial" w:hAnsi="Arial" w:cs="Arial"/>
        </w:rPr>
        <w:t xml:space="preserve"> intitulé </w:t>
      </w:r>
      <w:r w:rsidRPr="000E1703">
        <w:rPr>
          <w:rFonts w:ascii="Arial" w:hAnsi="Arial" w:cs="Arial"/>
          <w:b/>
          <w:bCs/>
        </w:rPr>
        <w:t>Horodatage des offres</w:t>
      </w:r>
      <w:r w:rsidRPr="000E1703">
        <w:rPr>
          <w:rFonts w:ascii="Arial" w:hAnsi="Arial" w:cs="Arial"/>
        </w:rPr>
        <w:t xml:space="preserve"> a pour objectif de prouver la non-altération des documents ainsi que le respect des délais fixés (date et heure) et de délivrer un accusé de réception après envoi des documents. Il assure aussi la traçabilité des transactions.</w:t>
      </w:r>
    </w:p>
    <w:p w14:paraId="2DB9ACCD" w14:textId="77777777" w:rsidR="005944E1" w:rsidRDefault="005944E1" w:rsidP="005944E1">
      <w:pPr>
        <w:ind w:left="426" w:right="-779"/>
        <w:jc w:val="both"/>
        <w:rPr>
          <w:rFonts w:ascii="Arial" w:hAnsi="Arial" w:cs="Arial"/>
        </w:rPr>
      </w:pPr>
    </w:p>
    <w:p w14:paraId="4726F356" w14:textId="77777777" w:rsidR="000E1703" w:rsidRPr="000E1703" w:rsidRDefault="000E1703" w:rsidP="005944E1">
      <w:pPr>
        <w:ind w:left="426" w:right="-779"/>
        <w:jc w:val="both"/>
        <w:rPr>
          <w:rFonts w:ascii="Arial" w:hAnsi="Arial" w:cs="Arial"/>
        </w:rPr>
      </w:pPr>
    </w:p>
    <w:p w14:paraId="3C52134B" w14:textId="77777777" w:rsidR="005944E1" w:rsidRPr="000E1703" w:rsidRDefault="005944E1" w:rsidP="000E1703">
      <w:pPr>
        <w:pBdr>
          <w:top w:val="single" w:sz="4" w:space="1" w:color="auto"/>
          <w:left w:val="single" w:sz="4" w:space="4" w:color="auto"/>
          <w:bottom w:val="single" w:sz="4" w:space="1" w:color="auto"/>
          <w:right w:val="single" w:sz="4" w:space="4" w:color="auto"/>
        </w:pBdr>
        <w:ind w:right="-779"/>
        <w:jc w:val="both"/>
        <w:rPr>
          <w:rFonts w:ascii="Arial" w:hAnsi="Arial" w:cs="Arial"/>
          <w:b/>
          <w:bCs/>
          <w:lang w:val="fr-CA"/>
        </w:rPr>
      </w:pPr>
      <w:r w:rsidRPr="000E1703">
        <w:rPr>
          <w:rFonts w:ascii="Arial" w:hAnsi="Arial" w:cs="Arial"/>
          <w:b/>
          <w:bCs/>
        </w:rPr>
        <w:t>3-</w:t>
      </w:r>
      <w:r w:rsidRPr="000E1703">
        <w:rPr>
          <w:rFonts w:ascii="Arial" w:hAnsi="Arial" w:cs="Arial"/>
          <w:b/>
          <w:bCs/>
          <w:lang w:val="fr-CA"/>
        </w:rPr>
        <w:t xml:space="preserve"> Introduire le recours obligatoire à l’Achat Public Durable à travers la réforme des textes existants. </w:t>
      </w:r>
    </w:p>
    <w:p w14:paraId="33BAF10C" w14:textId="77777777" w:rsidR="005944E1" w:rsidRPr="000E1703" w:rsidRDefault="005944E1" w:rsidP="000E1703">
      <w:pPr>
        <w:pBdr>
          <w:top w:val="single" w:sz="4" w:space="1" w:color="auto"/>
          <w:left w:val="single" w:sz="4" w:space="4" w:color="auto"/>
          <w:bottom w:val="single" w:sz="4" w:space="1" w:color="auto"/>
          <w:right w:val="single" w:sz="4" w:space="4" w:color="auto"/>
        </w:pBdr>
        <w:ind w:right="-779"/>
        <w:jc w:val="both"/>
        <w:rPr>
          <w:rFonts w:ascii="Arial" w:hAnsi="Arial" w:cs="Arial"/>
        </w:rPr>
      </w:pPr>
    </w:p>
    <w:p w14:paraId="25BE3A2B" w14:textId="77777777" w:rsidR="00F11784" w:rsidRDefault="00F11784" w:rsidP="005944E1">
      <w:pPr>
        <w:ind w:right="-779"/>
        <w:jc w:val="both"/>
        <w:rPr>
          <w:rFonts w:ascii="Arial" w:hAnsi="Arial" w:cs="Arial"/>
        </w:rPr>
      </w:pPr>
    </w:p>
    <w:p w14:paraId="0DCA512D" w14:textId="77777777" w:rsidR="005944E1" w:rsidRPr="000E1703" w:rsidRDefault="00BE3A83" w:rsidP="005944E1">
      <w:pPr>
        <w:ind w:right="-779"/>
        <w:jc w:val="both"/>
        <w:rPr>
          <w:rFonts w:ascii="Arial" w:hAnsi="Arial" w:cs="Arial"/>
        </w:rPr>
      </w:pPr>
      <w:r w:rsidRPr="000E1703">
        <w:rPr>
          <w:rFonts w:ascii="Arial" w:hAnsi="Arial" w:cs="Arial"/>
        </w:rPr>
        <w:t xml:space="preserve">Il </w:t>
      </w:r>
      <w:r w:rsidR="005944E1" w:rsidRPr="000E1703">
        <w:rPr>
          <w:rFonts w:ascii="Arial" w:hAnsi="Arial" w:cs="Arial"/>
        </w:rPr>
        <w:t>est ajouté un article nouveau au « CHAPITRE DE LA PROCEDURE ET DES   CRITERES D’EVALUATION DES OFFRES » intitulé « Marchés Publics Durables », comme suit :</w:t>
      </w:r>
    </w:p>
    <w:p w14:paraId="2598DEC0" w14:textId="77777777" w:rsidR="00F11784" w:rsidRDefault="00F11784" w:rsidP="005944E1">
      <w:pPr>
        <w:ind w:right="-779"/>
        <w:jc w:val="both"/>
        <w:rPr>
          <w:rFonts w:ascii="Arial" w:hAnsi="Arial" w:cs="Arial"/>
          <w:b/>
          <w:bCs/>
          <w:u w:val="single"/>
        </w:rPr>
      </w:pPr>
    </w:p>
    <w:p w14:paraId="74A63673" w14:textId="77777777" w:rsidR="005944E1" w:rsidRPr="000E1703" w:rsidRDefault="005944E1" w:rsidP="005944E1">
      <w:pPr>
        <w:ind w:right="-779"/>
        <w:jc w:val="both"/>
        <w:rPr>
          <w:rFonts w:ascii="Arial" w:hAnsi="Arial" w:cs="Arial"/>
        </w:rPr>
      </w:pPr>
      <w:r w:rsidRPr="000E1703">
        <w:rPr>
          <w:rFonts w:ascii="Arial" w:hAnsi="Arial" w:cs="Arial"/>
          <w:b/>
          <w:bCs/>
          <w:u w:val="single"/>
        </w:rPr>
        <w:t xml:space="preserve">Art. 92 (Bis) - </w:t>
      </w:r>
      <w:r w:rsidRPr="000E1703">
        <w:rPr>
          <w:rFonts w:ascii="Arial" w:hAnsi="Arial" w:cs="Arial"/>
          <w:b/>
          <w:bCs/>
        </w:rPr>
        <w:t>Marchés publics durables</w:t>
      </w:r>
      <w:r w:rsidRPr="000E1703">
        <w:rPr>
          <w:rFonts w:ascii="Arial" w:hAnsi="Arial" w:cs="Arial"/>
        </w:rPr>
        <w:t xml:space="preserve">  </w:t>
      </w:r>
    </w:p>
    <w:p w14:paraId="2783DDA7" w14:textId="77777777" w:rsidR="005944E1" w:rsidRPr="000E1703" w:rsidRDefault="005944E1" w:rsidP="005944E1">
      <w:pPr>
        <w:ind w:right="-779"/>
        <w:jc w:val="both"/>
        <w:rPr>
          <w:rFonts w:ascii="Arial" w:hAnsi="Arial" w:cs="Arial"/>
        </w:rPr>
      </w:pPr>
      <w:r w:rsidRPr="000E1703">
        <w:rPr>
          <w:rFonts w:ascii="Arial" w:hAnsi="Arial" w:cs="Arial"/>
        </w:rPr>
        <w:t xml:space="preserve">Cet article introduit une définition légale de l’Achat Public Durable et précise les conditions permettant la réalisation des objectifs du développement durable. Il met en valeur les éléments intégrant des dispositions en faveur de la protection ou de la mise en valeur de l’environnement, du progrès social, et favorisant le développement économique. </w:t>
      </w:r>
    </w:p>
    <w:p w14:paraId="08DB1D86" w14:textId="77777777" w:rsidR="005944E1" w:rsidRPr="000E1703" w:rsidRDefault="005944E1" w:rsidP="005944E1">
      <w:pPr>
        <w:ind w:right="-779"/>
        <w:jc w:val="both"/>
        <w:rPr>
          <w:rFonts w:ascii="Arial" w:hAnsi="Arial" w:cs="Arial"/>
        </w:rPr>
      </w:pPr>
    </w:p>
    <w:p w14:paraId="59084697" w14:textId="77777777" w:rsidR="005944E1" w:rsidRDefault="005944E1" w:rsidP="005944E1">
      <w:pPr>
        <w:ind w:right="-779"/>
        <w:jc w:val="both"/>
        <w:rPr>
          <w:rFonts w:ascii="Arial" w:hAnsi="Arial" w:cs="Arial"/>
        </w:rPr>
      </w:pPr>
      <w:r w:rsidRPr="000E1703">
        <w:rPr>
          <w:rFonts w:ascii="Arial" w:hAnsi="Arial" w:cs="Arial"/>
        </w:rPr>
        <w:t xml:space="preserve">Cette disposition légale vise aussi à renforcer l’accès des PME et petits artisans à la commande publique et qui font désormais partie des objectifs du développement durable. </w:t>
      </w:r>
    </w:p>
    <w:p w14:paraId="2D88EF71" w14:textId="77777777" w:rsidR="00F11784" w:rsidRDefault="00F11784" w:rsidP="005944E1">
      <w:pPr>
        <w:ind w:right="-779"/>
        <w:jc w:val="both"/>
        <w:rPr>
          <w:rFonts w:ascii="Arial" w:hAnsi="Arial" w:cs="Arial"/>
        </w:rPr>
      </w:pPr>
    </w:p>
    <w:p w14:paraId="79567AB2" w14:textId="77777777" w:rsidR="00F11784" w:rsidRDefault="00F11784" w:rsidP="005944E1">
      <w:pPr>
        <w:ind w:right="-779"/>
        <w:jc w:val="both"/>
        <w:rPr>
          <w:rFonts w:ascii="Arial" w:hAnsi="Arial" w:cs="Arial"/>
        </w:rPr>
      </w:pPr>
    </w:p>
    <w:p w14:paraId="05ADE4CC" w14:textId="77777777" w:rsidR="00F11784" w:rsidRDefault="00F11784" w:rsidP="005944E1">
      <w:pPr>
        <w:ind w:right="-779"/>
        <w:jc w:val="both"/>
        <w:rPr>
          <w:rFonts w:ascii="Arial" w:hAnsi="Arial" w:cs="Arial"/>
        </w:rPr>
      </w:pPr>
    </w:p>
    <w:p w14:paraId="7B2F0966" w14:textId="77777777" w:rsidR="00F11784" w:rsidRPr="000E1703" w:rsidRDefault="00F11784" w:rsidP="005944E1">
      <w:pPr>
        <w:ind w:right="-779"/>
        <w:jc w:val="both"/>
        <w:rPr>
          <w:rFonts w:ascii="Arial" w:hAnsi="Arial" w:cs="Arial"/>
        </w:rPr>
      </w:pPr>
    </w:p>
    <w:p w14:paraId="56887D19" w14:textId="77777777" w:rsidR="005944E1" w:rsidRPr="000E1703" w:rsidRDefault="005944E1" w:rsidP="00084D0B">
      <w:pPr>
        <w:pBdr>
          <w:top w:val="single" w:sz="4" w:space="1" w:color="auto"/>
          <w:left w:val="single" w:sz="4" w:space="4" w:color="auto"/>
          <w:bottom w:val="single" w:sz="4" w:space="1" w:color="auto"/>
          <w:right w:val="single" w:sz="4" w:space="4" w:color="auto"/>
        </w:pBdr>
        <w:ind w:right="-779"/>
        <w:jc w:val="both"/>
        <w:rPr>
          <w:rFonts w:ascii="Arial" w:hAnsi="Arial" w:cs="Arial"/>
          <w:b/>
          <w:bCs/>
        </w:rPr>
      </w:pPr>
      <w:r w:rsidRPr="000E1703">
        <w:rPr>
          <w:rFonts w:ascii="Arial" w:hAnsi="Arial" w:cs="Arial"/>
          <w:b/>
          <w:bCs/>
        </w:rPr>
        <w:t xml:space="preserve">4-Permettre   un droit d’accès </w:t>
      </w:r>
      <w:r w:rsidRPr="000E1703">
        <w:rPr>
          <w:rFonts w:ascii="Arial" w:hAnsi="Arial" w:cs="Arial"/>
          <w:b/>
          <w:bCs/>
          <w:lang w:val="fr-CA"/>
        </w:rPr>
        <w:t>aux groupements socio-économiques, aux citoyens et à la société civile, aux informations relatives à la passation des marchés publics et délégation des services publics.</w:t>
      </w:r>
    </w:p>
    <w:p w14:paraId="4D34096A" w14:textId="77777777" w:rsidR="005944E1" w:rsidRPr="000E1703" w:rsidRDefault="005944E1" w:rsidP="00084D0B">
      <w:pPr>
        <w:pBdr>
          <w:top w:val="single" w:sz="4" w:space="1" w:color="auto"/>
          <w:left w:val="single" w:sz="4" w:space="4" w:color="auto"/>
          <w:bottom w:val="single" w:sz="4" w:space="1" w:color="auto"/>
          <w:right w:val="single" w:sz="4" w:space="4" w:color="auto"/>
        </w:pBdr>
        <w:ind w:right="-779"/>
        <w:jc w:val="both"/>
        <w:rPr>
          <w:rFonts w:ascii="Arial" w:hAnsi="Arial" w:cs="Arial"/>
        </w:rPr>
      </w:pPr>
    </w:p>
    <w:p w14:paraId="6059FF79" w14:textId="77777777" w:rsidR="00F11784" w:rsidRDefault="00F11784" w:rsidP="005944E1">
      <w:pPr>
        <w:ind w:right="-779"/>
        <w:jc w:val="both"/>
        <w:rPr>
          <w:rFonts w:ascii="Arial" w:hAnsi="Arial" w:cs="Arial"/>
          <w:b/>
          <w:bCs/>
        </w:rPr>
      </w:pPr>
    </w:p>
    <w:p w14:paraId="77AAA83C" w14:textId="77777777" w:rsidR="005944E1" w:rsidRPr="000E1703" w:rsidRDefault="005944E1" w:rsidP="005944E1">
      <w:pPr>
        <w:ind w:right="-779"/>
        <w:jc w:val="both"/>
        <w:rPr>
          <w:rFonts w:ascii="Arial" w:hAnsi="Arial" w:cs="Arial"/>
          <w:b/>
          <w:bCs/>
        </w:rPr>
      </w:pPr>
      <w:r w:rsidRPr="000E1703">
        <w:rPr>
          <w:rFonts w:ascii="Arial" w:hAnsi="Arial" w:cs="Arial"/>
          <w:b/>
          <w:bCs/>
        </w:rPr>
        <w:t>L'article 3 (Bis)</w:t>
      </w:r>
      <w:r w:rsidRPr="000E1703">
        <w:rPr>
          <w:rFonts w:ascii="Arial" w:hAnsi="Arial" w:cs="Arial"/>
        </w:rPr>
        <w:t xml:space="preserve"> intitulé </w:t>
      </w:r>
      <w:r w:rsidRPr="000E1703">
        <w:rPr>
          <w:rFonts w:ascii="Arial" w:hAnsi="Arial" w:cs="Arial"/>
          <w:b/>
          <w:bCs/>
        </w:rPr>
        <w:t>droit d’accès aux informations de la passation des marchés,</w:t>
      </w:r>
      <w:r w:rsidRPr="000E1703">
        <w:rPr>
          <w:rFonts w:ascii="Arial" w:hAnsi="Arial" w:cs="Arial"/>
        </w:rPr>
        <w:t xml:space="preserve"> introduit et garantit d’une manière générale, l’accès aux informations relatives à la passation des marchés publics et délégation des services publics.  Il s’inscrit dans le renforcement des principes généraux qui s'appliquent à l'ensemble de la démarche d'achat et qui vise la transparence des choix et l'efficacité de la dépense publique et permet un meilleur contrôle citoyen du processus de la passation des marchés publics et délégation des services publics. </w:t>
      </w:r>
    </w:p>
    <w:p w14:paraId="6904F97C" w14:textId="77777777" w:rsidR="005944E1" w:rsidRPr="000E1703" w:rsidRDefault="005944E1" w:rsidP="005944E1">
      <w:pPr>
        <w:ind w:right="-779"/>
        <w:jc w:val="both"/>
        <w:rPr>
          <w:rFonts w:ascii="Arial" w:hAnsi="Arial" w:cs="Arial"/>
        </w:rPr>
      </w:pPr>
    </w:p>
    <w:p w14:paraId="7EE3F544" w14:textId="77777777" w:rsidR="005944E1" w:rsidRPr="000E1703" w:rsidRDefault="005944E1" w:rsidP="005944E1">
      <w:pPr>
        <w:ind w:right="-779"/>
        <w:jc w:val="both"/>
        <w:rPr>
          <w:rFonts w:ascii="Arial" w:hAnsi="Arial" w:cs="Arial"/>
        </w:rPr>
      </w:pPr>
      <w:r w:rsidRPr="000E1703">
        <w:rPr>
          <w:rFonts w:ascii="Arial" w:hAnsi="Arial" w:cs="Arial"/>
        </w:rPr>
        <w:t xml:space="preserve">En outre </w:t>
      </w:r>
      <w:r w:rsidRPr="000E1703">
        <w:rPr>
          <w:rFonts w:ascii="Arial" w:hAnsi="Arial" w:cs="Arial"/>
          <w:b/>
          <w:bCs/>
        </w:rPr>
        <w:t>l'Article 3 (Ter)</w:t>
      </w:r>
      <w:r w:rsidRPr="000E1703">
        <w:rPr>
          <w:rFonts w:ascii="Arial" w:hAnsi="Arial" w:cs="Arial"/>
          <w:bCs/>
        </w:rPr>
        <w:t>intitulé</w:t>
      </w:r>
      <w:r w:rsidRPr="000E1703">
        <w:rPr>
          <w:rFonts w:ascii="Arial" w:hAnsi="Arial" w:cs="Arial"/>
          <w:b/>
        </w:rPr>
        <w:t xml:space="preserve"> Droit du contrôle citoyen des marchés a</w:t>
      </w:r>
      <w:r w:rsidRPr="000E1703">
        <w:rPr>
          <w:rFonts w:ascii="Arial" w:hAnsi="Arial" w:cs="Arial"/>
        </w:rPr>
        <w:t xml:space="preserve"> pour objectif d’instituer un droit reconnu à la société civile de saisir l’Autorité de Régulation des Marchés Publics de toutes les irrégularités qu’elle constate dans la conduite du processus des marchés. </w:t>
      </w:r>
    </w:p>
    <w:p w14:paraId="0A452F23" w14:textId="77777777" w:rsidR="005944E1" w:rsidRPr="000E1703" w:rsidRDefault="005944E1" w:rsidP="005944E1">
      <w:pPr>
        <w:ind w:right="-779"/>
        <w:jc w:val="both"/>
        <w:rPr>
          <w:rFonts w:ascii="Arial" w:hAnsi="Arial" w:cs="Arial"/>
        </w:rPr>
      </w:pPr>
    </w:p>
    <w:p w14:paraId="1B2E07E4" w14:textId="77777777" w:rsidR="005944E1" w:rsidRPr="000E1703" w:rsidRDefault="005944E1" w:rsidP="005944E1">
      <w:pPr>
        <w:ind w:right="-779"/>
        <w:jc w:val="both"/>
        <w:rPr>
          <w:rFonts w:ascii="Arial" w:hAnsi="Arial" w:cs="Arial"/>
        </w:rPr>
      </w:pPr>
      <w:r w:rsidRPr="000E1703">
        <w:rPr>
          <w:rFonts w:ascii="Arial" w:hAnsi="Arial" w:cs="Arial"/>
        </w:rPr>
        <w:t xml:space="preserve">Cette démarche vise également à renforcer la confiance des opérateurs économiques, de la société civile et des citoyens dans les procédures actuelles et leur permet d’aider les pouvoirs publics dans leur effort pour instaurer une meilleure gouvernance dans le domaine de la passation des marchés publics et délégation des services publics.  </w:t>
      </w:r>
    </w:p>
    <w:p w14:paraId="4FF175D1" w14:textId="77777777" w:rsidR="005944E1" w:rsidRPr="000E1703" w:rsidRDefault="005944E1" w:rsidP="005944E1">
      <w:pPr>
        <w:ind w:right="-779"/>
        <w:jc w:val="both"/>
        <w:rPr>
          <w:rFonts w:ascii="Arial" w:hAnsi="Arial" w:cs="Arial"/>
        </w:rPr>
      </w:pPr>
    </w:p>
    <w:p w14:paraId="7D41B168" w14:textId="77777777" w:rsidR="005944E1" w:rsidRPr="000E1703" w:rsidRDefault="005944E1" w:rsidP="005944E1">
      <w:pPr>
        <w:ind w:right="-779"/>
        <w:jc w:val="both"/>
        <w:rPr>
          <w:rFonts w:ascii="Arial" w:hAnsi="Arial" w:cs="Arial"/>
        </w:rPr>
      </w:pPr>
      <w:r w:rsidRPr="000E1703">
        <w:rPr>
          <w:rFonts w:ascii="Arial" w:hAnsi="Arial" w:cs="Arial"/>
        </w:rPr>
        <w:t xml:space="preserve">Telles sont les lignes maîtresses qui caractérisent le présent projet de texte de réforme </w:t>
      </w:r>
      <w:r w:rsidRPr="000E1703">
        <w:rPr>
          <w:rFonts w:ascii="Arial" w:hAnsi="Arial" w:cs="Arial"/>
          <w:lang w:val="fr-CA"/>
        </w:rPr>
        <w:t>de la loi sur la</w:t>
      </w:r>
      <w:r w:rsidRPr="000E1703">
        <w:rPr>
          <w:rFonts w:ascii="Arial" w:hAnsi="Arial" w:cs="Arial"/>
        </w:rPr>
        <w:t xml:space="preserve"> passation des Marchés Publics et Délégation des Services Publics.</w:t>
      </w:r>
    </w:p>
    <w:p w14:paraId="5C3FE4DB" w14:textId="77777777" w:rsidR="005944E1" w:rsidRPr="000E1703" w:rsidRDefault="005944E1" w:rsidP="005944E1">
      <w:pPr>
        <w:ind w:right="-779"/>
        <w:jc w:val="both"/>
        <w:rPr>
          <w:rFonts w:ascii="Arial" w:hAnsi="Arial" w:cs="Arial"/>
        </w:rPr>
      </w:pPr>
    </w:p>
    <w:p w14:paraId="1A3B8BFD" w14:textId="77777777" w:rsidR="005944E1" w:rsidRPr="001D65DB" w:rsidRDefault="005944E1" w:rsidP="005944E1">
      <w:pPr>
        <w:ind w:right="-779"/>
        <w:jc w:val="both"/>
        <w:rPr>
          <w:rFonts w:ascii="Arial" w:hAnsi="Arial" w:cs="Arial"/>
        </w:rPr>
      </w:pPr>
      <w:r w:rsidRPr="000E1703">
        <w:rPr>
          <w:rFonts w:ascii="Arial" w:hAnsi="Arial" w:cs="Arial"/>
        </w:rPr>
        <w:t>Afin de faciliter la lecture du projet</w:t>
      </w:r>
      <w:r w:rsidRPr="000E1703">
        <w:rPr>
          <w:rFonts w:ascii="Arial" w:hAnsi="Arial" w:cs="Arial"/>
          <w:lang w:val="fr-CA"/>
        </w:rPr>
        <w:t xml:space="preserve"> du texte de réformes de la </w:t>
      </w:r>
      <w:r w:rsidR="00970017">
        <w:rPr>
          <w:rFonts w:ascii="Arial" w:hAnsi="Arial" w:cs="Arial"/>
          <w:lang w:val="fr-CA"/>
        </w:rPr>
        <w:t>Loi</w:t>
      </w:r>
      <w:r w:rsidRPr="000E1703">
        <w:rPr>
          <w:rFonts w:ascii="Arial" w:hAnsi="Arial" w:cs="Arial"/>
        </w:rPr>
        <w:t xml:space="preserve"> n° 2011-027 du 29 décembre 2011, portant Passation des Marchés Publics et Délégation des Services Publics</w:t>
      </w:r>
      <w:r w:rsidRPr="000E1703">
        <w:rPr>
          <w:rFonts w:ascii="Arial" w:hAnsi="Arial" w:cs="Arial"/>
          <w:lang w:val="fr-CA"/>
        </w:rPr>
        <w:t>,</w:t>
      </w:r>
      <w:r w:rsidRPr="000E1703">
        <w:rPr>
          <w:rFonts w:ascii="Arial" w:hAnsi="Arial" w:cs="Arial"/>
        </w:rPr>
        <w:t xml:space="preserve"> nous publions en dernière page de cet exposé de motifs, </w:t>
      </w:r>
      <w:r w:rsidRPr="001D65DB">
        <w:rPr>
          <w:rFonts w:ascii="Arial" w:hAnsi="Arial" w:cs="Arial"/>
          <w:b/>
          <w:bCs/>
        </w:rPr>
        <w:t>un glossaire additionnel</w:t>
      </w:r>
      <w:r w:rsidRPr="001D65DB">
        <w:rPr>
          <w:rFonts w:ascii="Arial" w:hAnsi="Arial" w:cs="Arial"/>
        </w:rPr>
        <w:t xml:space="preserve"> des termes utilisés dans le présent projet de Loi et qui s’ajoute en annexe au glossaire de l’ancienne Loi n° 2011-027 du 29 décembre 2011, portant Passation des Marchés Publics et Délégation des Services Publics.</w:t>
      </w:r>
    </w:p>
    <w:p w14:paraId="797627FF" w14:textId="77777777" w:rsidR="005944E1" w:rsidRPr="001D65DB" w:rsidRDefault="005944E1" w:rsidP="005944E1">
      <w:pPr>
        <w:ind w:right="-779"/>
        <w:jc w:val="both"/>
        <w:rPr>
          <w:rFonts w:ascii="Arial" w:hAnsi="Arial" w:cs="Arial"/>
        </w:rPr>
      </w:pPr>
    </w:p>
    <w:p w14:paraId="44E95F97" w14:textId="77777777" w:rsidR="001E332D" w:rsidRPr="000E1703" w:rsidRDefault="005944E1" w:rsidP="005944E1">
      <w:pPr>
        <w:ind w:right="-779"/>
        <w:jc w:val="both"/>
        <w:rPr>
          <w:rFonts w:ascii="Arial" w:hAnsi="Arial" w:cs="Arial"/>
        </w:rPr>
      </w:pPr>
      <w:r w:rsidRPr="001D65DB">
        <w:rPr>
          <w:rFonts w:ascii="Arial" w:hAnsi="Arial" w:cs="Arial"/>
        </w:rPr>
        <w:t>Les définitions des termes en annexe figurant au glossaire font partie intégrante de la présente loi.</w:t>
      </w:r>
    </w:p>
    <w:p w14:paraId="48050ABB" w14:textId="77777777" w:rsidR="005944E1" w:rsidRPr="000E1703" w:rsidRDefault="005944E1" w:rsidP="005944E1">
      <w:pPr>
        <w:ind w:right="-779"/>
        <w:jc w:val="both"/>
        <w:rPr>
          <w:rFonts w:ascii="Arial" w:hAnsi="Arial" w:cs="Arial"/>
        </w:rPr>
      </w:pPr>
    </w:p>
    <w:p w14:paraId="047990D6" w14:textId="3DB3D2E3" w:rsidR="005944E1" w:rsidRPr="000E1703" w:rsidRDefault="005944E1" w:rsidP="004941E4">
      <w:pPr>
        <w:ind w:right="-779"/>
        <w:jc w:val="both"/>
        <w:rPr>
          <w:rFonts w:ascii="Arial" w:hAnsi="Arial" w:cs="Arial"/>
          <w:lang w:val="fr-CA"/>
        </w:rPr>
      </w:pPr>
      <w:r w:rsidRPr="000E1703">
        <w:rPr>
          <w:rFonts w:ascii="Arial" w:hAnsi="Arial" w:cs="Arial"/>
          <w:lang w:val="fr-CA"/>
        </w:rPr>
        <w:t xml:space="preserve">Ainsi le projet de texte de réforme de la présente loi, est soumis à </w:t>
      </w:r>
      <w:r w:rsidR="004941E4" w:rsidRPr="000E1703">
        <w:rPr>
          <w:rFonts w:ascii="Arial" w:hAnsi="Arial" w:cs="Arial"/>
          <w:lang w:val="fr-CA"/>
        </w:rPr>
        <w:t>l’attention</w:t>
      </w:r>
      <w:r w:rsidR="00BE3A83" w:rsidRPr="000E1703">
        <w:rPr>
          <w:rFonts w:ascii="Arial" w:hAnsi="Arial" w:cs="Arial"/>
          <w:lang w:val="fr-CA"/>
        </w:rPr>
        <w:t xml:space="preserve"> de Messieurs les </w:t>
      </w:r>
      <w:r w:rsidRPr="000E1703">
        <w:rPr>
          <w:rFonts w:ascii="Arial" w:hAnsi="Arial" w:cs="Arial"/>
          <w:lang w:val="fr-CA"/>
        </w:rPr>
        <w:t xml:space="preserve">députés Comoriens pour </w:t>
      </w:r>
      <w:r w:rsidR="00A25042" w:rsidRPr="000E1703">
        <w:rPr>
          <w:rFonts w:ascii="Arial" w:hAnsi="Arial" w:cs="Arial"/>
          <w:lang w:val="fr-CA"/>
        </w:rPr>
        <w:t>discussion et</w:t>
      </w:r>
      <w:r w:rsidRPr="000E1703">
        <w:rPr>
          <w:rFonts w:ascii="Arial" w:hAnsi="Arial" w:cs="Arial"/>
          <w:lang w:val="fr-CA"/>
        </w:rPr>
        <w:t xml:space="preserve"> émissio</w:t>
      </w:r>
      <w:r w:rsidR="00084D0B">
        <w:rPr>
          <w:rFonts w:ascii="Arial" w:hAnsi="Arial" w:cs="Arial"/>
          <w:lang w:val="fr-CA"/>
        </w:rPr>
        <w:t xml:space="preserve">n </w:t>
      </w:r>
      <w:r w:rsidRPr="000E1703">
        <w:rPr>
          <w:rFonts w:ascii="Arial" w:hAnsi="Arial" w:cs="Arial"/>
          <w:lang w:val="fr-CA"/>
        </w:rPr>
        <w:t xml:space="preserve">de </w:t>
      </w:r>
      <w:r w:rsidR="00A25042" w:rsidRPr="000E1703">
        <w:rPr>
          <w:rFonts w:ascii="Arial" w:hAnsi="Arial" w:cs="Arial"/>
          <w:lang w:val="fr-CA"/>
        </w:rPr>
        <w:t>toutes propositions</w:t>
      </w:r>
      <w:r w:rsidRPr="000E1703">
        <w:rPr>
          <w:rFonts w:ascii="Arial" w:hAnsi="Arial" w:cs="Arial"/>
          <w:lang w:val="fr-CA"/>
        </w:rPr>
        <w:t xml:space="preserve"> permettant d’enrichir le texte et </w:t>
      </w:r>
      <w:r w:rsidR="00A25042" w:rsidRPr="000E1703">
        <w:rPr>
          <w:rFonts w:ascii="Arial" w:hAnsi="Arial" w:cs="Arial"/>
          <w:lang w:val="fr-CA"/>
        </w:rPr>
        <w:t>afin de</w:t>
      </w:r>
      <w:bookmarkStart w:id="0" w:name="_GoBack"/>
      <w:bookmarkEnd w:id="0"/>
      <w:r w:rsidRPr="000E1703">
        <w:rPr>
          <w:rFonts w:ascii="Arial" w:hAnsi="Arial" w:cs="Arial"/>
          <w:lang w:val="fr-CA"/>
        </w:rPr>
        <w:t xml:space="preserve"> l’adopter.</w:t>
      </w:r>
    </w:p>
    <w:p w14:paraId="46B6209B" w14:textId="77777777" w:rsidR="0096619E" w:rsidRPr="000E1703" w:rsidRDefault="0096619E" w:rsidP="004941E4">
      <w:pPr>
        <w:ind w:right="-779"/>
        <w:jc w:val="both"/>
        <w:rPr>
          <w:rFonts w:ascii="Arial" w:hAnsi="Arial" w:cs="Arial"/>
          <w:lang w:val="fr-CA"/>
        </w:rPr>
      </w:pPr>
    </w:p>
    <w:p w14:paraId="540DC35B" w14:textId="77777777" w:rsidR="0096619E" w:rsidRPr="000E1703" w:rsidRDefault="0096619E" w:rsidP="004941E4">
      <w:pPr>
        <w:ind w:right="-779"/>
        <w:jc w:val="both"/>
        <w:rPr>
          <w:rFonts w:ascii="Arial" w:hAnsi="Arial" w:cs="Arial"/>
          <w:lang w:val="fr-CA"/>
        </w:rPr>
      </w:pPr>
    </w:p>
    <w:p w14:paraId="2F0C6D3A" w14:textId="77777777" w:rsidR="0096619E" w:rsidRPr="000E1703" w:rsidRDefault="0096619E" w:rsidP="004941E4">
      <w:pPr>
        <w:ind w:right="-779"/>
        <w:jc w:val="both"/>
        <w:rPr>
          <w:rFonts w:ascii="Arial" w:hAnsi="Arial" w:cs="Arial"/>
          <w:lang w:val="fr-CA"/>
        </w:rPr>
      </w:pPr>
    </w:p>
    <w:p w14:paraId="0AC70485" w14:textId="77777777" w:rsidR="0096619E" w:rsidRPr="000E1703" w:rsidRDefault="0096619E" w:rsidP="004941E4">
      <w:pPr>
        <w:ind w:right="-779"/>
        <w:jc w:val="both"/>
        <w:rPr>
          <w:rFonts w:ascii="Arial" w:hAnsi="Arial" w:cs="Arial"/>
          <w:lang w:val="fr-CA"/>
        </w:rPr>
      </w:pPr>
    </w:p>
    <w:p w14:paraId="10050982" w14:textId="77777777" w:rsidR="0096619E" w:rsidRPr="000E1703" w:rsidRDefault="0096619E" w:rsidP="00084D0B">
      <w:pPr>
        <w:ind w:left="6372"/>
        <w:jc w:val="right"/>
        <w:rPr>
          <w:rFonts w:ascii="Arial" w:hAnsi="Arial" w:cs="Arial"/>
          <w:b/>
          <w:szCs w:val="24"/>
        </w:rPr>
      </w:pPr>
      <w:r w:rsidRPr="000E1703">
        <w:rPr>
          <w:rFonts w:ascii="Arial" w:hAnsi="Arial" w:cs="Arial"/>
          <w:b/>
          <w:szCs w:val="24"/>
        </w:rPr>
        <w:t>KAMALIDINI SOUEF</w:t>
      </w:r>
    </w:p>
    <w:p w14:paraId="2C4A73A1" w14:textId="77777777" w:rsidR="0096619E" w:rsidRPr="000E1703" w:rsidRDefault="0096619E" w:rsidP="00084D0B">
      <w:pPr>
        <w:ind w:right="-779"/>
        <w:jc w:val="right"/>
        <w:rPr>
          <w:rFonts w:ascii="Arial" w:hAnsi="Arial" w:cs="Arial"/>
          <w:lang w:val="fr-CA"/>
        </w:rPr>
      </w:pPr>
    </w:p>
    <w:sectPr w:rsidR="0096619E" w:rsidRPr="000E1703" w:rsidSect="00DB3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D10"/>
    <w:multiLevelType w:val="hybridMultilevel"/>
    <w:tmpl w:val="0C52E6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3D1186"/>
    <w:multiLevelType w:val="multilevel"/>
    <w:tmpl w:val="769E2F78"/>
    <w:lvl w:ilvl="0">
      <w:start w:val="1"/>
      <w:numFmt w:val="upperRoman"/>
      <w:lvlText w:val="%1."/>
      <w:lvlJc w:val="left"/>
      <w:pPr>
        <w:ind w:left="454" w:hanging="284"/>
      </w:pPr>
      <w:rPr>
        <w:rFonts w:hint="default"/>
      </w:rPr>
    </w:lvl>
    <w:lvl w:ilvl="1">
      <w:start w:val="1"/>
      <w:numFmt w:val="decimal"/>
      <w:lvlText w:val="%1.%2."/>
      <w:lvlJc w:val="left"/>
      <w:pPr>
        <w:ind w:left="1276" w:hanging="567"/>
      </w:pPr>
      <w:rPr>
        <w:rFonts w:hint="default"/>
      </w:rPr>
    </w:lvl>
    <w:lvl w:ilvl="2">
      <w:start w:val="1"/>
      <w:numFmt w:val="decimal"/>
      <w:pStyle w:val="hedi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di4"/>
      <w:lvlText w:val="%1.%2.%3.%4."/>
      <w:lvlJc w:val="left"/>
      <w:pPr>
        <w:ind w:left="3175" w:hanging="1247"/>
      </w:pPr>
      <w:rPr>
        <w:rFonts w:hint="default"/>
      </w:rPr>
    </w:lvl>
    <w:lvl w:ilvl="4">
      <w:start w:val="1"/>
      <w:numFmt w:val="decimal"/>
      <w:pStyle w:val="hedi5"/>
      <w:lvlText w:val="%1..%2.%3.%4.%5."/>
      <w:lvlJc w:val="left"/>
      <w:pPr>
        <w:ind w:left="5096" w:hanging="1693"/>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5B772B"/>
    <w:multiLevelType w:val="hybridMultilevel"/>
    <w:tmpl w:val="EA1237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944E1"/>
    <w:rsid w:val="00031109"/>
    <w:rsid w:val="00037973"/>
    <w:rsid w:val="00050C75"/>
    <w:rsid w:val="00084D0B"/>
    <w:rsid w:val="000D326E"/>
    <w:rsid w:val="000E1703"/>
    <w:rsid w:val="001001EA"/>
    <w:rsid w:val="001331EE"/>
    <w:rsid w:val="001D65DB"/>
    <w:rsid w:val="001E332D"/>
    <w:rsid w:val="00300DA1"/>
    <w:rsid w:val="003127C1"/>
    <w:rsid w:val="0043731B"/>
    <w:rsid w:val="00445E50"/>
    <w:rsid w:val="004941E4"/>
    <w:rsid w:val="00514EF4"/>
    <w:rsid w:val="00584C93"/>
    <w:rsid w:val="005944E1"/>
    <w:rsid w:val="005D1986"/>
    <w:rsid w:val="005E4582"/>
    <w:rsid w:val="00600497"/>
    <w:rsid w:val="008453DF"/>
    <w:rsid w:val="0088565F"/>
    <w:rsid w:val="008C5F57"/>
    <w:rsid w:val="008F598E"/>
    <w:rsid w:val="0096619E"/>
    <w:rsid w:val="00970017"/>
    <w:rsid w:val="00A25042"/>
    <w:rsid w:val="00B07547"/>
    <w:rsid w:val="00B116D1"/>
    <w:rsid w:val="00BA05AA"/>
    <w:rsid w:val="00BD747C"/>
    <w:rsid w:val="00BE3A83"/>
    <w:rsid w:val="00CC33FC"/>
    <w:rsid w:val="00CE5CD5"/>
    <w:rsid w:val="00CF04F8"/>
    <w:rsid w:val="00D32B61"/>
    <w:rsid w:val="00D60949"/>
    <w:rsid w:val="00DA396D"/>
    <w:rsid w:val="00DB2BF9"/>
    <w:rsid w:val="00DB37CF"/>
    <w:rsid w:val="00DC182A"/>
    <w:rsid w:val="00EB34AC"/>
    <w:rsid w:val="00F11784"/>
    <w:rsid w:val="00F81D91"/>
    <w:rsid w:val="00FA053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595B"/>
  <w15:docId w15:val="{4165DF1F-9ECA-4A5B-BBA3-909135E6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44E1"/>
    <w:pPr>
      <w:spacing w:after="0"/>
    </w:pPr>
    <w:rPr>
      <w:rFonts w:ascii="ZapfHumnst BT" w:hAnsi="ZapfHumnst BT"/>
      <w:sz w:val="24"/>
    </w:rPr>
  </w:style>
  <w:style w:type="paragraph" w:styleId="Titre2">
    <w:name w:val="heading 2"/>
    <w:basedOn w:val="Normal"/>
    <w:next w:val="Normal"/>
    <w:link w:val="Titre2Car"/>
    <w:uiPriority w:val="9"/>
    <w:semiHidden/>
    <w:unhideWhenUsed/>
    <w:qFormat/>
    <w:rsid w:val="005944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di2">
    <w:name w:val="hedi2"/>
    <w:basedOn w:val="Titre2"/>
    <w:link w:val="hedi2Car"/>
    <w:autoRedefine/>
    <w:qFormat/>
    <w:rsid w:val="005944E1"/>
    <w:pPr>
      <w:keepLines w:val="0"/>
      <w:spacing w:before="0" w:after="240" w:line="240" w:lineRule="auto"/>
      <w:ind w:right="-779"/>
      <w:jc w:val="center"/>
    </w:pPr>
    <w:rPr>
      <w:rFonts w:ascii="Comic Sans MS" w:eastAsia="Calibri" w:hAnsi="Comic Sans MS" w:cs="Arial"/>
      <w:b/>
      <w:bCs/>
      <w:color w:val="2F5496" w:themeColor="accent5" w:themeShade="BF"/>
      <w:sz w:val="28"/>
      <w:szCs w:val="28"/>
      <w:u w:val="single"/>
      <w:shd w:val="clear" w:color="auto" w:fill="FFFFFF"/>
      <w:lang w:val="fr-CA" w:eastAsia="fr-FR"/>
    </w:rPr>
  </w:style>
  <w:style w:type="paragraph" w:customStyle="1" w:styleId="hedi3">
    <w:name w:val="hedi3"/>
    <w:basedOn w:val="hedi2"/>
    <w:link w:val="hedi3Car"/>
    <w:autoRedefine/>
    <w:qFormat/>
    <w:rsid w:val="005944E1"/>
    <w:pPr>
      <w:numPr>
        <w:ilvl w:val="2"/>
        <w:numId w:val="1"/>
      </w:numPr>
      <w:spacing w:after="0"/>
      <w:ind w:left="851"/>
    </w:pPr>
    <w:rPr>
      <w:color w:val="2E74B5" w:themeColor="accent1" w:themeShade="BF"/>
      <w:sz w:val="24"/>
      <w:szCs w:val="24"/>
    </w:rPr>
  </w:style>
  <w:style w:type="character" w:customStyle="1" w:styleId="hedi2Car">
    <w:name w:val="hedi2 Car"/>
    <w:basedOn w:val="Policepardfaut"/>
    <w:link w:val="hedi2"/>
    <w:rsid w:val="005944E1"/>
    <w:rPr>
      <w:rFonts w:ascii="Comic Sans MS" w:eastAsia="Calibri" w:hAnsi="Comic Sans MS" w:cs="Arial"/>
      <w:b/>
      <w:bCs/>
      <w:color w:val="2F5496" w:themeColor="accent5" w:themeShade="BF"/>
      <w:sz w:val="28"/>
      <w:szCs w:val="28"/>
      <w:u w:val="single"/>
      <w:lang w:val="fr-CA" w:eastAsia="fr-FR"/>
    </w:rPr>
  </w:style>
  <w:style w:type="paragraph" w:customStyle="1" w:styleId="hedi4">
    <w:name w:val="hedi4"/>
    <w:basedOn w:val="hedi3"/>
    <w:autoRedefine/>
    <w:qFormat/>
    <w:rsid w:val="005944E1"/>
    <w:pPr>
      <w:numPr>
        <w:ilvl w:val="3"/>
      </w:numPr>
      <w:tabs>
        <w:tab w:val="num" w:pos="360"/>
      </w:tabs>
      <w:ind w:left="1276"/>
    </w:pPr>
    <w:rPr>
      <w:color w:val="00B0F0"/>
    </w:rPr>
  </w:style>
  <w:style w:type="character" w:customStyle="1" w:styleId="hedi3Car">
    <w:name w:val="hedi3 Car"/>
    <w:basedOn w:val="Policepardfaut"/>
    <w:link w:val="hedi3"/>
    <w:rsid w:val="005944E1"/>
    <w:rPr>
      <w:rFonts w:ascii="ZapfHumnst BT" w:eastAsia="Calibri" w:hAnsi="ZapfHumnst BT" w:cs="Arial"/>
      <w:b/>
      <w:bCs/>
      <w:color w:val="2E74B5" w:themeColor="accent1" w:themeShade="BF"/>
      <w:sz w:val="24"/>
      <w:szCs w:val="24"/>
      <w:lang w:val="fr-BE" w:eastAsia="fr-FR"/>
    </w:rPr>
  </w:style>
  <w:style w:type="paragraph" w:customStyle="1" w:styleId="hedi5">
    <w:name w:val="hedi5"/>
    <w:basedOn w:val="hedi4"/>
    <w:autoRedefine/>
    <w:qFormat/>
    <w:rsid w:val="005944E1"/>
    <w:pPr>
      <w:numPr>
        <w:ilvl w:val="4"/>
      </w:numPr>
      <w:tabs>
        <w:tab w:val="num" w:pos="360"/>
      </w:tabs>
      <w:outlineLvl w:val="9"/>
    </w:pPr>
    <w:rPr>
      <w:color w:val="5B9BD5" w:themeColor="accent1"/>
      <w:sz w:val="22"/>
      <w:szCs w:val="22"/>
    </w:rPr>
  </w:style>
  <w:style w:type="character" w:customStyle="1" w:styleId="Titre2Car">
    <w:name w:val="Titre 2 Car"/>
    <w:basedOn w:val="Policepardfaut"/>
    <w:link w:val="Titre2"/>
    <w:uiPriority w:val="9"/>
    <w:semiHidden/>
    <w:rsid w:val="005944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B1B6-1D97-4418-A649-E1F07CD8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2042</Words>
  <Characters>11232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hassane ousria</cp:lastModifiedBy>
  <cp:revision>17</cp:revision>
  <cp:lastPrinted>2022-04-21T05:19:00Z</cp:lastPrinted>
  <dcterms:created xsi:type="dcterms:W3CDTF">2022-05-06T06:22:00Z</dcterms:created>
  <dcterms:modified xsi:type="dcterms:W3CDTF">2025-01-23T08:36:00Z</dcterms:modified>
</cp:coreProperties>
</file>